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DA538F" w:rsidRPr="00706458" w:rsidRDefault="00DA538F" w:rsidP="0070645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00706458">
        <w:rPr>
          <w:lang w:val="kk-KZ"/>
        </w:rPr>
        <w:t>Н</w:t>
      </w:r>
      <w:proofErr w:type="spellStart"/>
      <w:r w:rsidRPr="005B33CA">
        <w:t>аличие</w:t>
      </w:r>
      <w:proofErr w:type="spellEnd"/>
      <w:r w:rsidRPr="005B33CA">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A538F" w:rsidRDefault="00DA538F" w:rsidP="00DA538F">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4C1282"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4C1282" w:rsidRDefault="004C1282" w:rsidP="004C1282">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4C1282" w:rsidRPr="00B11118" w:rsidRDefault="004C1282" w:rsidP="004C1282">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4C1282" w:rsidRPr="006066E6" w:rsidRDefault="004C1282" w:rsidP="004C1282">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8020E6" w:rsidRDefault="008020E6" w:rsidP="008020E6">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06458" w:rsidRPr="008020E6" w:rsidRDefault="00706458" w:rsidP="008020E6">
      <w:pPr>
        <w:keepNext/>
        <w:keepLines/>
        <w:widowControl/>
        <w:snapToGrid/>
        <w:ind w:firstLine="566"/>
        <w:jc w:val="both"/>
        <w:outlineLvl w:val="4"/>
        <w:rPr>
          <w:rFonts w:eastAsiaTheme="majorEastAsia"/>
          <w:bCs w:val="0"/>
          <w:i w:val="0"/>
          <w:iCs w:val="0"/>
          <w:sz w:val="24"/>
          <w:szCs w:val="24"/>
          <w:u w:val="single"/>
          <w:lang w:val="kk-KZ"/>
        </w:rPr>
      </w:pP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8020E6" w:rsidRPr="008020E6" w:rsidRDefault="008020E6" w:rsidP="008020E6">
      <w:pPr>
        <w:keepNext/>
        <w:keepLines/>
        <w:widowControl/>
        <w:snapToGrid/>
        <w:ind w:firstLine="566"/>
        <w:jc w:val="both"/>
        <w:outlineLvl w:val="4"/>
        <w:rPr>
          <w:rFonts w:eastAsiaTheme="majorEastAsia"/>
          <w:b w:val="0"/>
          <w:bCs w:val="0"/>
          <w:i w:val="0"/>
          <w:iCs w:val="0"/>
          <w:sz w:val="24"/>
          <w:szCs w:val="24"/>
        </w:rPr>
      </w:pPr>
    </w:p>
    <w:p w:rsidR="00025C93" w:rsidRPr="007C0829" w:rsidRDefault="00025C93" w:rsidP="007C0829">
      <w:pPr>
        <w:pStyle w:val="aff3"/>
        <w:numPr>
          <w:ilvl w:val="0"/>
          <w:numId w:val="27"/>
        </w:numPr>
        <w:spacing w:line="276" w:lineRule="auto"/>
        <w:ind w:left="0" w:firstLine="426"/>
        <w:jc w:val="both"/>
        <w:rPr>
          <w:b/>
          <w:sz w:val="24"/>
          <w:szCs w:val="24"/>
          <w:lang w:val="kk-KZ"/>
        </w:rPr>
      </w:pPr>
      <w:r w:rsidRPr="007C0829">
        <w:rPr>
          <w:b/>
          <w:sz w:val="24"/>
          <w:szCs w:val="24"/>
          <w:lang w:val="kk-KZ"/>
        </w:rPr>
        <w:t>Главный специалист отдела налогового администрирования и камерального мониторинга Управления государственных доходов по Абайскому району департамента Государственных доходов по городу Шымкент</w:t>
      </w:r>
      <w:r w:rsidRPr="007C0829">
        <w:rPr>
          <w:b/>
          <w:sz w:val="24"/>
          <w:szCs w:val="24"/>
          <w:lang w:val="kk-KZ" w:eastAsia="ar-SA"/>
        </w:rPr>
        <w:t xml:space="preserve"> ( категория  С-R-4, Блок-А ) ,  1 единица.</w:t>
      </w:r>
    </w:p>
    <w:p w:rsidR="00025C93" w:rsidRPr="00025C93" w:rsidRDefault="00025C93" w:rsidP="001A2F57">
      <w:pPr>
        <w:tabs>
          <w:tab w:val="left" w:pos="0"/>
          <w:tab w:val="left" w:pos="426"/>
          <w:tab w:val="center" w:pos="567"/>
        </w:tabs>
        <w:ind w:left="113"/>
        <w:jc w:val="both"/>
        <w:rPr>
          <w:b w:val="0"/>
          <w:i w:val="0"/>
          <w:sz w:val="24"/>
          <w:szCs w:val="24"/>
        </w:rPr>
      </w:pPr>
      <w:r w:rsidRPr="00025C93">
        <w:rPr>
          <w:rFonts w:eastAsia="Calibri"/>
          <w:i w:val="0"/>
          <w:sz w:val="24"/>
          <w:szCs w:val="24"/>
          <w:u w:val="single"/>
          <w:lang w:eastAsia="en-US"/>
        </w:rPr>
        <w:t>Функциональные обязанности</w:t>
      </w:r>
      <w:r w:rsidRPr="00025C93">
        <w:rPr>
          <w:rFonts w:eastAsia="Calibri"/>
          <w:i w:val="0"/>
          <w:sz w:val="24"/>
          <w:szCs w:val="24"/>
          <w:u w:val="single"/>
          <w:lang w:val="kk-KZ" w:eastAsia="en-US"/>
        </w:rPr>
        <w:t>:</w:t>
      </w:r>
      <w:r w:rsidRPr="00025C93">
        <w:rPr>
          <w:i w:val="0"/>
          <w:sz w:val="24"/>
          <w:szCs w:val="24"/>
        </w:rPr>
        <w:t xml:space="preserve"> </w:t>
      </w:r>
      <w:r w:rsidRPr="00025C93">
        <w:rPr>
          <w:b w:val="0"/>
          <w:i w:val="0"/>
          <w:sz w:val="24"/>
          <w:szCs w:val="24"/>
          <w:lang w:val="kk-KZ"/>
        </w:rPr>
        <w:t xml:space="preserve">исполнение централизованных заданий отдела,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w:t>
      </w:r>
      <w:proofErr w:type="gramStart"/>
      <w:r w:rsidRPr="00025C93">
        <w:rPr>
          <w:b w:val="0"/>
          <w:i w:val="0"/>
          <w:sz w:val="24"/>
          <w:szCs w:val="24"/>
          <w:lang w:val="kk-KZ"/>
        </w:rPr>
        <w:t>нарушениям,  ведение</w:t>
      </w:r>
      <w:proofErr w:type="gramEnd"/>
      <w:r w:rsidRPr="00025C93">
        <w:rPr>
          <w:b w:val="0"/>
          <w:i w:val="0"/>
          <w:sz w:val="24"/>
          <w:szCs w:val="24"/>
          <w:lang w:val="kk-KZ"/>
        </w:rPr>
        <w:t xml:space="preserve">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а также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Контроль акцизных постов.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w:t>
      </w:r>
    </w:p>
    <w:p w:rsidR="00025C93" w:rsidRPr="00025C93" w:rsidRDefault="00025C93" w:rsidP="001A2F57">
      <w:pPr>
        <w:widowControl/>
        <w:snapToGrid/>
        <w:ind w:left="113"/>
        <w:contextualSpacing/>
        <w:jc w:val="both"/>
        <w:rPr>
          <w:rFonts w:eastAsia="Batang"/>
          <w:b w:val="0"/>
          <w:bCs w:val="0"/>
          <w:i w:val="0"/>
          <w:iCs w:val="0"/>
          <w:sz w:val="24"/>
          <w:szCs w:val="24"/>
        </w:rPr>
      </w:pPr>
      <w:r w:rsidRPr="00025C93">
        <w:rPr>
          <w:rFonts w:eastAsia="Calibri"/>
          <w:bCs w:val="0"/>
          <w:i w:val="0"/>
          <w:iCs w:val="0"/>
          <w:sz w:val="24"/>
          <w:szCs w:val="24"/>
          <w:u w:val="single"/>
          <w:lang w:eastAsia="en-US"/>
        </w:rPr>
        <w:lastRenderedPageBreak/>
        <w:t>Требования к участникам конкурса</w:t>
      </w:r>
      <w:r w:rsidRPr="00025C93">
        <w:rPr>
          <w:rFonts w:eastAsia="Calibri"/>
          <w:bCs w:val="0"/>
          <w:i w:val="0"/>
          <w:iCs w:val="0"/>
          <w:sz w:val="24"/>
          <w:szCs w:val="24"/>
          <w:u w:val="single"/>
          <w:lang w:val="kk-KZ" w:eastAsia="en-US"/>
        </w:rPr>
        <w:t>:</w:t>
      </w:r>
      <w:r w:rsidRPr="00025C93">
        <w:rPr>
          <w:rFonts w:eastAsia="Calibri"/>
          <w:b w:val="0"/>
          <w:bCs w:val="0"/>
          <w:i w:val="0"/>
          <w:iCs w:val="0"/>
          <w:sz w:val="24"/>
          <w:szCs w:val="24"/>
          <w:lang w:val="kk-KZ" w:eastAsia="en-US"/>
        </w:rPr>
        <w:t xml:space="preserve"> </w:t>
      </w:r>
      <w:r w:rsidRPr="00025C93">
        <w:rPr>
          <w:rFonts w:eastAsia="Batang"/>
          <w:b w:val="0"/>
          <w:bCs w:val="0"/>
          <w:i w:val="0"/>
          <w:iCs w:val="0"/>
          <w:sz w:val="24"/>
          <w:szCs w:val="24"/>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допускается </w:t>
      </w:r>
      <w:proofErr w:type="spellStart"/>
      <w:r w:rsidRPr="00025C93">
        <w:rPr>
          <w:rFonts w:eastAsia="Batang"/>
          <w:b w:val="0"/>
          <w:bCs w:val="0"/>
          <w:i w:val="0"/>
          <w:iCs w:val="0"/>
          <w:sz w:val="24"/>
          <w:szCs w:val="24"/>
        </w:rPr>
        <w:t>послесреднее</w:t>
      </w:r>
      <w:proofErr w:type="spellEnd"/>
      <w:r w:rsidRPr="00025C93">
        <w:rPr>
          <w:rFonts w:eastAsia="Batang"/>
          <w:b w:val="0"/>
          <w:bCs w:val="0"/>
          <w:i w:val="0"/>
          <w:iCs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4C1282" w:rsidRPr="002F413E" w:rsidRDefault="004C1282" w:rsidP="004C1282">
      <w:pPr>
        <w:pStyle w:val="aff3"/>
        <w:ind w:left="786"/>
        <w:jc w:val="both"/>
        <w:rPr>
          <w:sz w:val="16"/>
          <w:szCs w:val="16"/>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lastRenderedPageBreak/>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C0829" w:rsidRDefault="0078616A" w:rsidP="007C0829">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C0829" w:rsidP="0078616A">
      <w:pPr>
        <w:ind w:firstLine="284"/>
        <w:jc w:val="both"/>
        <w:rPr>
          <w:b w:val="0"/>
          <w:i w:val="0"/>
          <w:sz w:val="24"/>
          <w:szCs w:val="24"/>
          <w:lang w:val="kk-KZ"/>
        </w:rPr>
      </w:pPr>
      <w:r>
        <w:rPr>
          <w:lang w:val="kk-KZ"/>
        </w:rPr>
        <w:t xml:space="preserve"> </w:t>
      </w:r>
      <w:r w:rsidR="0078616A" w:rsidRPr="0078616A">
        <w:rPr>
          <w:lang w:val="kk-KZ"/>
        </w:rPr>
        <w:t xml:space="preserve"> </w:t>
      </w:r>
      <w:r w:rsidR="0078616A"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78616A" w:rsidRPr="0078616A">
        <w:rPr>
          <w:b w:val="0"/>
          <w:bCs w:val="0"/>
          <w:i w:val="0"/>
          <w:iCs w:val="0"/>
          <w:color w:val="000000"/>
          <w:sz w:val="24"/>
          <w:szCs w:val="24"/>
          <w:lang w:eastAsia="en-US"/>
        </w:rPr>
        <w:t xml:space="preserve">, </w:t>
      </w:r>
      <w:r w:rsidR="0078616A" w:rsidRPr="0078616A">
        <w:rPr>
          <w:b w:val="0"/>
          <w:i w:val="0"/>
          <w:color w:val="000000"/>
          <w:sz w:val="24"/>
          <w:szCs w:val="24"/>
        </w:rPr>
        <w:t>не позднее пяти рабочих дней со дня решения конкурсной комиссии</w:t>
      </w:r>
      <w:r w:rsidR="0078616A"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6C0D58" w:rsidRDefault="006C0D58"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p>
    <w:p w:rsidR="00E97AB5" w:rsidRDefault="00E97AB5" w:rsidP="008039D8">
      <w:pPr>
        <w:jc w:val="both"/>
        <w:rPr>
          <w:b w:val="0"/>
          <w:i w:val="0"/>
          <w:color w:val="000000"/>
          <w:sz w:val="24"/>
          <w:szCs w:val="24"/>
          <w:lang w:val="kk-KZ"/>
        </w:rPr>
      </w:pPr>
      <w:bookmarkStart w:id="1" w:name="_GoBack"/>
      <w:bookmarkEnd w:id="1"/>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1A2F57">
            <w:pPr>
              <w:jc w:val="both"/>
              <w:rPr>
                <w:sz w:val="24"/>
                <w:szCs w:val="24"/>
              </w:rPr>
            </w:pPr>
          </w:p>
        </w:tc>
        <w:tc>
          <w:tcPr>
            <w:tcW w:w="4170" w:type="dxa"/>
            <w:vAlign w:val="center"/>
            <w:hideMark/>
          </w:tcPr>
          <w:p w:rsidR="00671E0E" w:rsidRPr="00706458" w:rsidRDefault="00671E0E" w:rsidP="00706458">
            <w:pPr>
              <w:jc w:val="right"/>
              <w:rPr>
                <w:b w:val="0"/>
                <w:i w:val="0"/>
                <w:sz w:val="24"/>
                <w:szCs w:val="24"/>
              </w:rPr>
            </w:pPr>
            <w:bookmarkStart w:id="2" w:name="z279"/>
            <w:bookmarkEnd w:id="2"/>
          </w:p>
          <w:p w:rsidR="00585564" w:rsidRPr="00706458" w:rsidRDefault="00585564" w:rsidP="00706458">
            <w:pPr>
              <w:jc w:val="right"/>
              <w:rPr>
                <w:b w:val="0"/>
                <w:i w:val="0"/>
                <w:sz w:val="24"/>
                <w:szCs w:val="24"/>
              </w:rPr>
            </w:pPr>
            <w:r w:rsidRPr="00706458">
              <w:rPr>
                <w:b w:val="0"/>
                <w:i w:val="0"/>
                <w:sz w:val="24"/>
                <w:szCs w:val="24"/>
              </w:rPr>
              <w:lastRenderedPageBreak/>
              <w:t>Приложение 2 к Правилам</w:t>
            </w:r>
            <w:r w:rsidRPr="00706458">
              <w:rPr>
                <w:b w:val="0"/>
                <w:i w:val="0"/>
                <w:sz w:val="24"/>
                <w:szCs w:val="24"/>
              </w:rPr>
              <w:br/>
              <w:t>проведения конкурса на занятие</w:t>
            </w:r>
            <w:r w:rsidRPr="00706458">
              <w:rPr>
                <w:b w:val="0"/>
                <w:i w:val="0"/>
                <w:sz w:val="24"/>
                <w:szCs w:val="24"/>
              </w:rPr>
              <w:br/>
              <w:t>административной государственной</w:t>
            </w:r>
            <w:r w:rsidRPr="00706458">
              <w:rPr>
                <w:b w:val="0"/>
                <w:i w:val="0"/>
                <w:sz w:val="24"/>
                <w:szCs w:val="24"/>
              </w:rPr>
              <w:br/>
              <w:t>должности корпуса "Б"</w:t>
            </w:r>
          </w:p>
        </w:tc>
      </w:tr>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4170" w:type="dxa"/>
            <w:vAlign w:val="center"/>
            <w:hideMark/>
          </w:tcPr>
          <w:p w:rsidR="00585564" w:rsidRPr="00706458" w:rsidRDefault="00585564" w:rsidP="00706458">
            <w:pPr>
              <w:jc w:val="right"/>
              <w:rPr>
                <w:b w:val="0"/>
                <w:i w:val="0"/>
                <w:sz w:val="24"/>
                <w:szCs w:val="24"/>
              </w:rPr>
            </w:pPr>
            <w:bookmarkStart w:id="3" w:name="z280"/>
            <w:bookmarkEnd w:id="3"/>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7C0829">
      <w:headerReference w:type="default" r:id="rId11"/>
      <w:footerReference w:type="default" r:id="rId12"/>
      <w:pgSz w:w="11906" w:h="16838"/>
      <w:pgMar w:top="1418" w:right="849" w:bottom="1134"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47" w:rsidRDefault="00194147" w:rsidP="00B55B02">
      <w:r>
        <w:separator/>
      </w:r>
    </w:p>
  </w:endnote>
  <w:endnote w:type="continuationSeparator" w:id="0">
    <w:p w:rsidR="00194147" w:rsidRDefault="0019414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97AB5">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47" w:rsidRDefault="00194147" w:rsidP="00B55B02">
      <w:r>
        <w:separator/>
      </w:r>
    </w:p>
  </w:footnote>
  <w:footnote w:type="continuationSeparator" w:id="0">
    <w:p w:rsidR="00194147" w:rsidRDefault="0019414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2D305B7"/>
    <w:multiLevelType w:val="hybridMultilevel"/>
    <w:tmpl w:val="D0FA7D0E"/>
    <w:lvl w:ilvl="0" w:tplc="314EE236">
      <w:start w:val="2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9"/>
  </w:num>
  <w:num w:numId="9">
    <w:abstractNumId w:val="2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8"/>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3"/>
  </w:num>
  <w:num w:numId="28">
    <w:abstractNumId w:val="13"/>
  </w:num>
  <w:num w:numId="29">
    <w:abstractNumId w:val="1"/>
  </w:num>
  <w:num w:numId="30">
    <w:abstractNumId w:val="22"/>
  </w:num>
  <w:num w:numId="31">
    <w:abstractNumId w:val="0"/>
  </w:num>
  <w:num w:numId="32">
    <w:abstractNumId w:val="33"/>
  </w:num>
  <w:num w:numId="33">
    <w:abstractNumId w:val="3"/>
  </w:num>
  <w:num w:numId="34">
    <w:abstractNumId w:val="37"/>
  </w:num>
  <w:num w:numId="35">
    <w:abstractNumId w:val="8"/>
  </w:num>
  <w:num w:numId="36">
    <w:abstractNumId w:val="24"/>
  </w:num>
  <w:num w:numId="37">
    <w:abstractNumId w:val="17"/>
  </w:num>
  <w:num w:numId="38">
    <w:abstractNumId w:val="6"/>
  </w:num>
  <w:num w:numId="39">
    <w:abstractNumId w:val="10"/>
  </w:num>
  <w:num w:numId="40">
    <w:abstractNumId w:val="15"/>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C93"/>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009"/>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47"/>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2F57"/>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6B3A"/>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282"/>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0D58"/>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82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4C5E"/>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77F3D"/>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AB5"/>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876770"/>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0F71-E263-4751-AC0F-1C08A61B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1768</Words>
  <Characters>10081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11826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28</cp:revision>
  <cp:lastPrinted>2022-11-10T08:46:00Z</cp:lastPrinted>
  <dcterms:created xsi:type="dcterms:W3CDTF">2023-09-07T04:08:00Z</dcterms:created>
  <dcterms:modified xsi:type="dcterms:W3CDTF">2025-04-01T05:43:00Z</dcterms:modified>
</cp:coreProperties>
</file>