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73805BDF"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4F3D2B">
        <w:rPr>
          <w:i w:val="0"/>
          <w:sz w:val="24"/>
          <w:szCs w:val="24"/>
          <w:lang w:val="en-US"/>
        </w:rPr>
        <w:t>O</w:t>
      </w:r>
      <w:r w:rsidR="004F3D2B" w:rsidRPr="004F3D2B">
        <w:rPr>
          <w:i w:val="0"/>
          <w:sz w:val="24"/>
          <w:szCs w:val="24"/>
        </w:rPr>
        <w:t>-3</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78A4B29B" w14:textId="77777777" w:rsidR="004F3D2B" w:rsidRPr="004F3D2B" w:rsidRDefault="00FA59F2" w:rsidP="004F3D2B">
      <w:pPr>
        <w:jc w:val="both"/>
        <w:rPr>
          <w:b w:val="0"/>
          <w:bCs w:val="0"/>
          <w:i w:val="0"/>
          <w:iCs w:val="0"/>
          <w:color w:val="000000"/>
          <w:sz w:val="24"/>
          <w:szCs w:val="24"/>
        </w:rPr>
      </w:pPr>
      <w:bookmarkStart w:id="2" w:name="z660"/>
      <w:bookmarkEnd w:id="1"/>
      <w:r w:rsidRPr="00FA59F2">
        <w:rPr>
          <w:b w:val="0"/>
          <w:bCs w:val="0"/>
          <w:i w:val="0"/>
          <w:iCs w:val="0"/>
          <w:color w:val="000000"/>
          <w:sz w:val="24"/>
          <w:szCs w:val="24"/>
        </w:rPr>
        <w:t>     </w:t>
      </w:r>
      <w:r w:rsidR="004F3D2B" w:rsidRPr="004F3D2B">
        <w:rPr>
          <w:b w:val="0"/>
          <w:bCs w:val="0"/>
          <w:i w:val="0"/>
          <w:iCs w:val="0"/>
          <w:color w:val="000000"/>
          <w:sz w:val="24"/>
          <w:szCs w:val="24"/>
        </w:rPr>
        <w:t>1) не менее трех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C-O-5, C-R-2, D-4, D-O-4, D-R-2, Е-3, E-R-2, E-G-1;</w:t>
      </w:r>
    </w:p>
    <w:p w14:paraId="6164E6FB" w14:textId="77777777" w:rsidR="004F3D2B" w:rsidRPr="004F3D2B" w:rsidRDefault="004F3D2B" w:rsidP="004F3D2B">
      <w:pPr>
        <w:jc w:val="both"/>
        <w:rPr>
          <w:b w:val="0"/>
          <w:bCs w:val="0"/>
          <w:i w:val="0"/>
          <w:iCs w:val="0"/>
          <w:color w:val="000000"/>
          <w:sz w:val="24"/>
          <w:szCs w:val="24"/>
        </w:rPr>
      </w:pPr>
      <w:r w:rsidRPr="004F3D2B">
        <w:rPr>
          <w:b w:val="0"/>
          <w:bCs w:val="0"/>
          <w:i w:val="0"/>
          <w:iCs w:val="0"/>
          <w:color w:val="000000"/>
          <w:sz w:val="24"/>
          <w:szCs w:val="24"/>
        </w:rPr>
        <w:t xml:space="preserve">      2) не менее трех лет стажа работы, в том числе не менее одного года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либо на должности судьи;</w:t>
      </w:r>
    </w:p>
    <w:p w14:paraId="38AF01EA" w14:textId="76FE22FE" w:rsidR="00FA59F2" w:rsidRPr="00FA59F2" w:rsidRDefault="004F3D2B" w:rsidP="004F3D2B">
      <w:pPr>
        <w:jc w:val="both"/>
        <w:rPr>
          <w:b w:val="0"/>
          <w:bCs w:val="0"/>
          <w:i w:val="0"/>
          <w:iCs w:val="0"/>
          <w:sz w:val="24"/>
          <w:szCs w:val="24"/>
        </w:rPr>
      </w:pPr>
      <w:r w:rsidRPr="004F3D2B">
        <w:rPr>
          <w:b w:val="0"/>
          <w:bCs w:val="0"/>
          <w:i w:val="0"/>
          <w:iCs w:val="0"/>
          <w:color w:val="000000"/>
          <w:sz w:val="24"/>
          <w:szCs w:val="24"/>
        </w:rPr>
        <w:t xml:space="preserve">      3) не менее трех лет стажа работы в областях, соответствующих функциональным направлениям конкретной должности данной категории.</w:t>
      </w:r>
      <w:bookmarkStart w:id="3" w:name="z662"/>
      <w:bookmarkEnd w:id="2"/>
    </w:p>
    <w:bookmarkEnd w:id="3"/>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6A7BF58A"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004F3D2B">
              <w:rPr>
                <w:rFonts w:ascii="Times New Roman" w:hAnsi="Times New Roman" w:cs="Times New Roman"/>
                <w:i w:val="0"/>
                <w:color w:val="000000" w:themeColor="text1"/>
                <w:sz w:val="24"/>
                <w:szCs w:val="24"/>
                <w:lang w:val="en-US"/>
              </w:rPr>
              <w:t>O-3</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704E5E26" w:rsidR="007C38F4" w:rsidRPr="00290A2D" w:rsidRDefault="004F3D2B" w:rsidP="007C38F4">
            <w:pPr>
              <w:rPr>
                <w:b w:val="0"/>
                <w:i w:val="0"/>
                <w:sz w:val="24"/>
                <w:szCs w:val="24"/>
                <w:lang w:val="kk-KZ"/>
              </w:rPr>
            </w:pPr>
            <w:r>
              <w:rPr>
                <w:b w:val="0"/>
                <w:i w:val="0"/>
                <w:sz w:val="24"/>
                <w:szCs w:val="24"/>
                <w:lang w:val="kk-KZ"/>
              </w:rPr>
              <w:t>410720</w:t>
            </w:r>
          </w:p>
        </w:tc>
        <w:tc>
          <w:tcPr>
            <w:tcW w:w="3686" w:type="dxa"/>
            <w:tcBorders>
              <w:top w:val="single" w:sz="4" w:space="0" w:color="auto"/>
              <w:left w:val="single" w:sz="4" w:space="0" w:color="auto"/>
              <w:bottom w:val="single" w:sz="4" w:space="0" w:color="auto"/>
              <w:right w:val="single" w:sz="4" w:space="0" w:color="auto"/>
            </w:tcBorders>
          </w:tcPr>
          <w:p w14:paraId="77EE9C5A" w14:textId="458D213B" w:rsidR="007C38F4" w:rsidRPr="00290A2D" w:rsidRDefault="004F3D2B" w:rsidP="007C38F4">
            <w:pPr>
              <w:rPr>
                <w:b w:val="0"/>
                <w:i w:val="0"/>
                <w:sz w:val="24"/>
                <w:szCs w:val="24"/>
                <w:lang w:val="kk-KZ"/>
              </w:rPr>
            </w:pPr>
            <w:r>
              <w:rPr>
                <w:b w:val="0"/>
                <w:i w:val="0"/>
                <w:sz w:val="24"/>
                <w:szCs w:val="24"/>
                <w:lang w:val="kk-KZ"/>
              </w:rPr>
              <w:t>471788</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6EFA041A"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1F64BF">
        <w:rPr>
          <w:i w:val="0"/>
          <w:sz w:val="24"/>
          <w:szCs w:val="24"/>
          <w:lang w:val="en-US"/>
        </w:rPr>
        <w:t>a</w:t>
      </w:r>
      <w:r w:rsidR="001F64BF" w:rsidRPr="001F64BF">
        <w:rPr>
          <w:i w:val="0"/>
          <w:sz w:val="24"/>
          <w:szCs w:val="24"/>
        </w:rPr>
        <w:t>.</w:t>
      </w:r>
      <w:proofErr w:type="spellStart"/>
      <w:r w:rsidR="001F64BF">
        <w:rPr>
          <w:i w:val="0"/>
          <w:sz w:val="24"/>
          <w:szCs w:val="24"/>
          <w:lang w:val="en-US"/>
        </w:rPr>
        <w:t>shyrynbay</w:t>
      </w:r>
      <w:proofErr w:type="spellEnd"/>
      <w:r w:rsidR="00286F93" w:rsidRPr="00286F93">
        <w:rPr>
          <w:i w:val="0"/>
          <w:sz w:val="24"/>
          <w:szCs w:val="24"/>
        </w:rPr>
        <w:t>@kgd.gov.kz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07592399"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C97AA6">
        <w:rPr>
          <w:i w:val="0"/>
          <w:iCs w:val="0"/>
          <w:sz w:val="24"/>
          <w:szCs w:val="24"/>
          <w:lang w:val="kk-KZ"/>
        </w:rPr>
        <w:t>Руководитель У</w:t>
      </w:r>
      <w:r w:rsidR="004F3D2B">
        <w:rPr>
          <w:i w:val="0"/>
          <w:iCs w:val="0"/>
          <w:sz w:val="24"/>
          <w:szCs w:val="24"/>
          <w:lang w:val="kk-KZ"/>
        </w:rPr>
        <w:t xml:space="preserve">правления </w:t>
      </w:r>
      <w:r w:rsidR="004F3D2B" w:rsidRPr="004F3D2B">
        <w:rPr>
          <w:i w:val="0"/>
          <w:iCs w:val="0"/>
          <w:sz w:val="24"/>
          <w:szCs w:val="24"/>
          <w:lang w:val="kk-KZ"/>
        </w:rPr>
        <w:t>по работе с задолженностью</w:t>
      </w:r>
      <w:r w:rsidR="004F3D2B">
        <w:rPr>
          <w:i w:val="0"/>
          <w:iCs w:val="0"/>
          <w:sz w:val="24"/>
          <w:szCs w:val="24"/>
          <w:lang w:val="kk-KZ"/>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4F3D2B">
        <w:rPr>
          <w:i w:val="0"/>
          <w:color w:val="000000" w:themeColor="text1"/>
          <w:sz w:val="24"/>
          <w:szCs w:val="24"/>
          <w:lang w:val="en-US"/>
        </w:rPr>
        <w:t>O</w:t>
      </w:r>
      <w:r w:rsidRPr="00070F1C">
        <w:rPr>
          <w:i w:val="0"/>
          <w:iCs w:val="0"/>
          <w:sz w:val="24"/>
          <w:szCs w:val="24"/>
          <w:lang w:val="kk-KZ"/>
        </w:rPr>
        <w:t>-</w:t>
      </w:r>
      <w:r w:rsidR="004F3D2B">
        <w:rPr>
          <w:i w:val="0"/>
          <w:iCs w:val="0"/>
          <w:sz w:val="24"/>
          <w:szCs w:val="24"/>
          <w:lang w:val="kk-KZ"/>
        </w:rPr>
        <w:t>3</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1A67587D" w14:textId="77777777" w:rsidR="004F3D2B" w:rsidRPr="00C97AA6" w:rsidRDefault="007C38F4" w:rsidP="004F3D2B">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4F3D2B" w:rsidRPr="004F3D2B">
        <w:rPr>
          <w:b w:val="0"/>
          <w:bCs w:val="0"/>
          <w:i w:val="0"/>
          <w:iCs w:val="0"/>
          <w:sz w:val="24"/>
          <w:szCs w:val="24"/>
        </w:rPr>
        <w:t xml:space="preserve">Обеспечение исполнения действующего Законодательства, оказание практической помощи территориальным налоговым </w:t>
      </w:r>
      <w:bookmarkStart w:id="4" w:name="_GoBack"/>
      <w:r w:rsidR="004F3D2B" w:rsidRPr="004F3D2B">
        <w:rPr>
          <w:b w:val="0"/>
          <w:bCs w:val="0"/>
          <w:i w:val="0"/>
          <w:iCs w:val="0"/>
          <w:sz w:val="24"/>
          <w:szCs w:val="24"/>
        </w:rPr>
        <w:t>управления</w:t>
      </w:r>
      <w:bookmarkEnd w:id="4"/>
      <w:r w:rsidR="004F3D2B" w:rsidRPr="004F3D2B">
        <w:rPr>
          <w:b w:val="0"/>
          <w:bCs w:val="0"/>
          <w:i w:val="0"/>
          <w:iCs w:val="0"/>
          <w:sz w:val="24"/>
          <w:szCs w:val="24"/>
        </w:rPr>
        <w:t>м по вопросу правильного применения налоговых законодательств; улучшение ме</w:t>
      </w:r>
      <w:r w:rsidR="004F3D2B">
        <w:rPr>
          <w:b w:val="0"/>
          <w:bCs w:val="0"/>
          <w:i w:val="0"/>
          <w:iCs w:val="0"/>
          <w:sz w:val="24"/>
          <w:szCs w:val="24"/>
        </w:rPr>
        <w:t>тодов работ, осуществление конт</w:t>
      </w:r>
      <w:r w:rsidR="004F3D2B" w:rsidRPr="004F3D2B">
        <w:rPr>
          <w:b w:val="0"/>
          <w:bCs w:val="0"/>
          <w:i w:val="0"/>
          <w:iCs w:val="0"/>
          <w:sz w:val="24"/>
          <w:szCs w:val="24"/>
        </w:rPr>
        <w:t>роля по своевременному исполнению централизованных заданий, проводить налоговые обследования, разъяснять налоговое законодательство, организация и ведение работ по взысканию задолженности с должников.</w:t>
      </w: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4F3D2B" w:rsidRPr="004F3D2B">
        <w:rPr>
          <w:b w:val="0"/>
          <w:bCs w:val="0"/>
          <w:i w:val="0"/>
          <w:iCs w:val="0"/>
          <w:sz w:val="24"/>
          <w:szCs w:val="24"/>
        </w:rPr>
        <w:t>Высшее образование, послевузовское образование: бизнес, управление и право (менеджмент и/или юриспруденция и/или международное право и/или таможенное дело и/или экономика и/или учет и аудит и/или финансы и/или государственное и местное управление и/или мировая экономика).</w:t>
      </w:r>
    </w:p>
    <w:p w14:paraId="24CCB9BE" w14:textId="09BA67DD" w:rsidR="007312B0" w:rsidRPr="00FC568F" w:rsidRDefault="007312B0" w:rsidP="004F3D2B">
      <w:pPr>
        <w:tabs>
          <w:tab w:val="left" w:pos="567"/>
        </w:tabs>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 xml:space="preserve">В процессе собеседования наблюдатели не задают кандидатам вопросы. Не допускается </w:t>
      </w:r>
      <w:r w:rsidRPr="00FC568F">
        <w:rPr>
          <w:b w:val="0"/>
          <w:i w:val="0"/>
          <w:sz w:val="24"/>
          <w:szCs w:val="24"/>
        </w:rPr>
        <w:lastRenderedPageBreak/>
        <w:t>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Уведомление осуществляется по телефону или по электронной почте, </w:t>
      </w:r>
      <w:proofErr w:type="gramStart"/>
      <w:r w:rsidRPr="00FC568F">
        <w:rPr>
          <w:b w:val="0"/>
          <w:i w:val="0"/>
          <w:sz w:val="24"/>
          <w:szCs w:val="24"/>
        </w:rPr>
        <w:t>указанным</w:t>
      </w:r>
      <w:proofErr w:type="gramEnd"/>
      <w:r w:rsidRPr="00FC568F">
        <w:rPr>
          <w:b w:val="0"/>
          <w:i w:val="0"/>
          <w:sz w:val="24"/>
          <w:szCs w:val="24"/>
        </w:rPr>
        <w:t xml:space="preserve"> в объявлении о проведении конкурса.</w:t>
      </w:r>
    </w:p>
    <w:p w14:paraId="276B450A" w14:textId="0ABD33E0"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До начала проведения собеседования секретарь конкурсной комиссии озн</w:t>
      </w:r>
      <w:r w:rsidR="001F64BF">
        <w:rPr>
          <w:b w:val="0"/>
          <w:i w:val="0"/>
          <w:sz w:val="24"/>
          <w:szCs w:val="24"/>
          <w:lang w:val="kk-KZ"/>
        </w:rPr>
        <w:t>а</w:t>
      </w:r>
      <w:r w:rsidRPr="00FC568F">
        <w:rPr>
          <w:b w:val="0"/>
          <w:i w:val="0"/>
          <w:sz w:val="24"/>
          <w:szCs w:val="24"/>
        </w:rPr>
        <w:t xml:space="preserve">камливает наблюдателей с памяткой для наблюдателя по форме, согласно </w:t>
      </w:r>
      <w:hyperlink r:id="rId7"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proofErr w:type="gramStart"/>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roofErr w:type="gramEnd"/>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8"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9"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Кандидаты могут </w:t>
      </w:r>
      <w:proofErr w:type="gramStart"/>
      <w:r w:rsidRPr="0068483F">
        <w:rPr>
          <w:b w:val="0"/>
          <w:bCs w:val="0"/>
          <w:i w:val="0"/>
          <w:iCs w:val="0"/>
          <w:sz w:val="24"/>
          <w:szCs w:val="24"/>
        </w:rPr>
        <w:t>предоставлять документы</w:t>
      </w:r>
      <w:proofErr w:type="gramEnd"/>
      <w:r w:rsidRPr="0068483F">
        <w:rPr>
          <w:b w:val="0"/>
          <w:bCs w:val="0"/>
          <w:i w:val="0"/>
          <w:iCs w:val="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xml:space="preserve">", прилагается копия справки о завершении </w:t>
      </w:r>
      <w:proofErr w:type="gramStart"/>
      <w:r w:rsidRPr="000C05EB">
        <w:rPr>
          <w:b w:val="0"/>
          <w:i w:val="0"/>
          <w:sz w:val="24"/>
          <w:szCs w:val="24"/>
        </w:rPr>
        <w:t>обучения по</w:t>
      </w:r>
      <w:proofErr w:type="gramEnd"/>
      <w:r w:rsidRPr="000C05EB">
        <w:rPr>
          <w:b w:val="0"/>
          <w:i w:val="0"/>
          <w:sz w:val="24"/>
          <w:szCs w:val="24"/>
        </w:rPr>
        <w:t xml:space="preserve">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w:t>
      </w:r>
      <w:r w:rsidRPr="00161408">
        <w:rPr>
          <w:b w:val="0"/>
          <w:i w:val="0"/>
          <w:sz w:val="24"/>
          <w:szCs w:val="24"/>
        </w:rPr>
        <w:lastRenderedPageBreak/>
        <w:t xml:space="preserve">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512AC81E" w14:textId="77777777" w:rsidR="002B7CF1" w:rsidRDefault="002B7CF1" w:rsidP="00640824">
            <w:pPr>
              <w:ind w:right="576"/>
              <w:rPr>
                <w:b w:val="0"/>
                <w:i w:val="0"/>
                <w:sz w:val="20"/>
                <w:szCs w:val="20"/>
                <w:lang w:val="kk-KZ"/>
              </w:rPr>
            </w:pPr>
          </w:p>
          <w:p w14:paraId="714C0288" w14:textId="77777777" w:rsidR="002B7CF1" w:rsidRDefault="002B7CF1" w:rsidP="00640824">
            <w:pPr>
              <w:ind w:right="576"/>
              <w:rPr>
                <w:b w:val="0"/>
                <w:i w:val="0"/>
                <w:sz w:val="20"/>
                <w:szCs w:val="20"/>
                <w:lang w:val="kk-KZ"/>
              </w:rPr>
            </w:pPr>
          </w:p>
          <w:p w14:paraId="0C0A213B" w14:textId="77777777" w:rsidR="002B7CF1" w:rsidRDefault="002B7CF1" w:rsidP="00640824">
            <w:pPr>
              <w:ind w:right="576"/>
              <w:rPr>
                <w:b w:val="0"/>
                <w:i w:val="0"/>
                <w:sz w:val="20"/>
                <w:szCs w:val="20"/>
                <w:lang w:val="kk-KZ"/>
              </w:rPr>
            </w:pPr>
          </w:p>
          <w:p w14:paraId="7BA997CA" w14:textId="77777777" w:rsidR="002B7CF1" w:rsidRDefault="002B7CF1" w:rsidP="00640824">
            <w:pPr>
              <w:ind w:right="576"/>
              <w:rPr>
                <w:b w:val="0"/>
                <w:i w:val="0"/>
                <w:sz w:val="20"/>
                <w:szCs w:val="20"/>
                <w:lang w:val="kk-KZ"/>
              </w:rPr>
            </w:pPr>
          </w:p>
          <w:p w14:paraId="34312BE6" w14:textId="77777777" w:rsidR="002B7CF1" w:rsidRDefault="002B7CF1" w:rsidP="00640824">
            <w:pPr>
              <w:ind w:right="576"/>
              <w:rPr>
                <w:b w:val="0"/>
                <w:i w:val="0"/>
                <w:sz w:val="20"/>
                <w:szCs w:val="20"/>
                <w:lang w:val="kk-KZ"/>
              </w:rPr>
            </w:pPr>
          </w:p>
          <w:p w14:paraId="5D6DF8C9" w14:textId="77777777" w:rsidR="002B7CF1" w:rsidRDefault="002B7CF1" w:rsidP="00640824">
            <w:pPr>
              <w:ind w:right="576"/>
              <w:rPr>
                <w:b w:val="0"/>
                <w:i w:val="0"/>
                <w:sz w:val="20"/>
                <w:szCs w:val="20"/>
                <w:lang w:val="kk-KZ"/>
              </w:rPr>
            </w:pPr>
          </w:p>
          <w:p w14:paraId="5EEE15E1" w14:textId="77777777" w:rsidR="002B7CF1" w:rsidRDefault="002B7CF1" w:rsidP="00640824">
            <w:pPr>
              <w:ind w:right="576"/>
              <w:rPr>
                <w:b w:val="0"/>
                <w:i w:val="0"/>
                <w:sz w:val="20"/>
                <w:szCs w:val="20"/>
                <w:lang w:val="kk-KZ"/>
              </w:rPr>
            </w:pPr>
          </w:p>
          <w:p w14:paraId="6ECA30ED" w14:textId="77777777" w:rsidR="002B7CF1" w:rsidRDefault="002B7CF1" w:rsidP="00640824">
            <w:pPr>
              <w:ind w:right="576"/>
              <w:rPr>
                <w:b w:val="0"/>
                <w:i w:val="0"/>
                <w:sz w:val="20"/>
                <w:szCs w:val="20"/>
                <w:lang w:val="kk-KZ"/>
              </w:rPr>
            </w:pPr>
          </w:p>
          <w:p w14:paraId="5DC3EC48" w14:textId="77777777" w:rsidR="002B7CF1" w:rsidRDefault="002B7CF1" w:rsidP="00640824">
            <w:pPr>
              <w:ind w:right="576"/>
              <w:rPr>
                <w:b w:val="0"/>
                <w:i w:val="0"/>
                <w:sz w:val="20"/>
                <w:szCs w:val="20"/>
                <w:lang w:val="kk-KZ"/>
              </w:rPr>
            </w:pPr>
          </w:p>
          <w:p w14:paraId="404C6D7C" w14:textId="77777777" w:rsidR="002B7CF1" w:rsidRDefault="002B7CF1" w:rsidP="00640824">
            <w:pPr>
              <w:ind w:right="576"/>
              <w:rPr>
                <w:b w:val="0"/>
                <w:i w:val="0"/>
                <w:sz w:val="20"/>
                <w:szCs w:val="20"/>
                <w:lang w:val="kk-KZ"/>
              </w:rPr>
            </w:pPr>
          </w:p>
          <w:p w14:paraId="4F10F408" w14:textId="77777777" w:rsidR="002B7CF1" w:rsidRDefault="002B7CF1" w:rsidP="00640824">
            <w:pPr>
              <w:ind w:right="576"/>
              <w:rPr>
                <w:b w:val="0"/>
                <w:i w:val="0"/>
                <w:sz w:val="20"/>
                <w:szCs w:val="20"/>
                <w:lang w:val="kk-KZ"/>
              </w:rPr>
            </w:pPr>
          </w:p>
          <w:p w14:paraId="586EA368" w14:textId="77777777" w:rsidR="002B7CF1" w:rsidRDefault="002B7CF1" w:rsidP="00640824">
            <w:pPr>
              <w:ind w:right="576"/>
              <w:rPr>
                <w:b w:val="0"/>
                <w:i w:val="0"/>
                <w:sz w:val="20"/>
                <w:szCs w:val="20"/>
                <w:lang w:val="kk-KZ"/>
              </w:rPr>
            </w:pPr>
          </w:p>
          <w:p w14:paraId="277FB815" w14:textId="77777777" w:rsidR="002B7CF1" w:rsidRDefault="002B7CF1" w:rsidP="00640824">
            <w:pPr>
              <w:ind w:right="576"/>
              <w:rPr>
                <w:b w:val="0"/>
                <w:i w:val="0"/>
                <w:sz w:val="20"/>
                <w:szCs w:val="20"/>
                <w:lang w:val="kk-KZ"/>
              </w:rPr>
            </w:pPr>
          </w:p>
          <w:p w14:paraId="69C5B54C" w14:textId="77777777" w:rsidR="002B7CF1" w:rsidRDefault="002B7CF1" w:rsidP="00640824">
            <w:pPr>
              <w:ind w:right="576"/>
              <w:rPr>
                <w:b w:val="0"/>
                <w:i w:val="0"/>
                <w:sz w:val="20"/>
                <w:szCs w:val="20"/>
                <w:lang w:val="kk-KZ"/>
              </w:rPr>
            </w:pPr>
          </w:p>
          <w:p w14:paraId="60C9233D" w14:textId="77777777" w:rsidR="002B7CF1" w:rsidRDefault="002B7CF1" w:rsidP="00640824">
            <w:pPr>
              <w:ind w:right="576"/>
              <w:rPr>
                <w:b w:val="0"/>
                <w:i w:val="0"/>
                <w:sz w:val="20"/>
                <w:szCs w:val="20"/>
                <w:lang w:val="kk-KZ"/>
              </w:rPr>
            </w:pPr>
          </w:p>
          <w:p w14:paraId="1F59B3F4" w14:textId="77777777" w:rsidR="002B7CF1" w:rsidRDefault="002B7CF1" w:rsidP="00640824">
            <w:pPr>
              <w:ind w:right="576"/>
              <w:rPr>
                <w:b w:val="0"/>
                <w:i w:val="0"/>
                <w:sz w:val="20"/>
                <w:szCs w:val="20"/>
                <w:lang w:val="kk-KZ"/>
              </w:rPr>
            </w:pPr>
          </w:p>
          <w:p w14:paraId="4F59547B" w14:textId="77777777" w:rsidR="002B7CF1" w:rsidRDefault="002B7CF1" w:rsidP="00640824">
            <w:pPr>
              <w:ind w:right="576"/>
              <w:rPr>
                <w:b w:val="0"/>
                <w:i w:val="0"/>
                <w:sz w:val="20"/>
                <w:szCs w:val="20"/>
                <w:lang w:val="kk-KZ"/>
              </w:rPr>
            </w:pPr>
          </w:p>
          <w:p w14:paraId="310ADF68" w14:textId="77777777" w:rsidR="002B7CF1" w:rsidRDefault="002B7CF1" w:rsidP="00640824">
            <w:pPr>
              <w:ind w:right="576"/>
              <w:rPr>
                <w:b w:val="0"/>
                <w:i w:val="0"/>
                <w:sz w:val="20"/>
                <w:szCs w:val="20"/>
                <w:lang w:val="kk-KZ"/>
              </w:rPr>
            </w:pPr>
          </w:p>
          <w:p w14:paraId="092961C4" w14:textId="77777777" w:rsidR="002B7CF1" w:rsidRDefault="002B7CF1" w:rsidP="00640824">
            <w:pPr>
              <w:ind w:right="576"/>
              <w:rPr>
                <w:b w:val="0"/>
                <w:i w:val="0"/>
                <w:sz w:val="20"/>
                <w:szCs w:val="20"/>
                <w:lang w:val="kk-KZ"/>
              </w:rPr>
            </w:pPr>
          </w:p>
          <w:p w14:paraId="13984C89" w14:textId="77777777" w:rsidR="002B7CF1" w:rsidRDefault="002B7CF1" w:rsidP="00640824">
            <w:pPr>
              <w:ind w:right="576"/>
              <w:rPr>
                <w:b w:val="0"/>
                <w:i w:val="0"/>
                <w:sz w:val="20"/>
                <w:szCs w:val="20"/>
                <w:lang w:val="kk-KZ"/>
              </w:rPr>
            </w:pPr>
          </w:p>
          <w:p w14:paraId="54BCDD50" w14:textId="77777777" w:rsidR="002B7CF1" w:rsidRDefault="002B7CF1" w:rsidP="00640824">
            <w:pPr>
              <w:ind w:right="576"/>
              <w:rPr>
                <w:b w:val="0"/>
                <w:i w:val="0"/>
                <w:sz w:val="20"/>
                <w:szCs w:val="20"/>
                <w:lang w:val="kk-KZ"/>
              </w:rPr>
            </w:pPr>
          </w:p>
          <w:p w14:paraId="6C833315" w14:textId="77777777" w:rsidR="002B7CF1" w:rsidRDefault="002B7CF1" w:rsidP="00640824">
            <w:pPr>
              <w:ind w:right="576"/>
              <w:rPr>
                <w:b w:val="0"/>
                <w:i w:val="0"/>
                <w:sz w:val="20"/>
                <w:szCs w:val="20"/>
                <w:lang w:val="kk-KZ"/>
              </w:rPr>
            </w:pPr>
          </w:p>
          <w:p w14:paraId="004B917D" w14:textId="77777777" w:rsidR="002B7CF1" w:rsidRDefault="002B7CF1" w:rsidP="00640824">
            <w:pPr>
              <w:ind w:right="576"/>
              <w:rPr>
                <w:b w:val="0"/>
                <w:i w:val="0"/>
                <w:sz w:val="20"/>
                <w:szCs w:val="20"/>
                <w:lang w:val="kk-KZ"/>
              </w:rPr>
            </w:pPr>
          </w:p>
          <w:p w14:paraId="6E190867" w14:textId="77777777" w:rsidR="002B7CF1" w:rsidRDefault="002B7CF1" w:rsidP="00640824">
            <w:pPr>
              <w:ind w:right="576"/>
              <w:rPr>
                <w:b w:val="0"/>
                <w:i w:val="0"/>
                <w:sz w:val="20"/>
                <w:szCs w:val="20"/>
                <w:lang w:val="kk-KZ"/>
              </w:rPr>
            </w:pPr>
          </w:p>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 xml:space="preserve">С основными требованиями Правил проведения конкурса на занятие административной государственной должности корпуса «Б»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proofErr w:type="gramStart"/>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w:t>
      </w:r>
      <w:proofErr w:type="gramEnd"/>
      <w:r w:rsidRPr="00BC3DE7">
        <w:rPr>
          <w:b w:val="0"/>
          <w:i w:val="0"/>
          <w:color w:val="000000"/>
          <w:sz w:val="24"/>
          <w:szCs w:val="24"/>
        </w:rPr>
        <w:t xml:space="preserve"> родственников, супруга (супругу) и (или) свойственников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С трансляцией и размещением на интернет-ресурсе государственного органа видеозаписи моего собеседования </w:t>
      </w:r>
      <w:proofErr w:type="gramStart"/>
      <w:r w:rsidRPr="00BC3DE7">
        <w:rPr>
          <w:b w:val="0"/>
          <w:i w:val="0"/>
          <w:color w:val="000000"/>
          <w:sz w:val="24"/>
          <w:szCs w:val="24"/>
        </w:rPr>
        <w:t>согласен</w:t>
      </w:r>
      <w:proofErr w:type="gramEnd"/>
      <w:r w:rsidRPr="00BC3DE7">
        <w:rPr>
          <w:b w:val="0"/>
          <w:i w:val="0"/>
          <w:color w:val="000000"/>
          <w:sz w:val="24"/>
          <w:szCs w:val="24"/>
        </w:rPr>
        <w:t xml:space="preserve">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e-</w:t>
      </w:r>
      <w:proofErr w:type="spellStart"/>
      <w:r w:rsidRPr="00BC3DE7">
        <w:rPr>
          <w:b w:val="0"/>
          <w:i w:val="0"/>
          <w:color w:val="000000"/>
          <w:sz w:val="24"/>
          <w:szCs w:val="24"/>
        </w:rPr>
        <w:t>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B7CF1"/>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24C60"/>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4F3D2B"/>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7AA6"/>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1700014939"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61.42.188/rus/docs/V2100024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D92B-C31F-4075-824B-A3CE9BD4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298</cp:revision>
  <cp:lastPrinted>2021-01-14T10:39:00Z</cp:lastPrinted>
  <dcterms:created xsi:type="dcterms:W3CDTF">2021-12-09T05:12:00Z</dcterms:created>
  <dcterms:modified xsi:type="dcterms:W3CDTF">2026-02-03T05:18:00Z</dcterms:modified>
</cp:coreProperties>
</file>