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7312D4">
        <w:rPr>
          <w:i w:val="0"/>
          <w:sz w:val="24"/>
          <w:szCs w:val="24"/>
        </w:rPr>
        <w:t>К административным</w:t>
      </w:r>
      <w:r w:rsidRPr="00871E40">
        <w:rPr>
          <w:i w:val="0"/>
          <w:spacing w:val="2"/>
          <w:sz w:val="24"/>
          <w:szCs w:val="24"/>
        </w:rPr>
        <w:t xml:space="preserve">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4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226837</w:t>
            </w: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260564</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4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В)</w:t>
            </w: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eastAsia="en-US"/>
              </w:rPr>
            </w:pPr>
            <w:r>
              <w:rPr>
                <w:color w:val="000000"/>
                <w:sz w:val="24"/>
                <w:szCs w:val="24"/>
                <w:lang w:val="en-US" w:eastAsia="en-US"/>
              </w:rPr>
              <w:t xml:space="preserve">195549 </w:t>
            </w: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eastAsia="en-US"/>
              </w:rPr>
            </w:pPr>
            <w:r>
              <w:rPr>
                <w:color w:val="000000"/>
                <w:sz w:val="24"/>
                <w:szCs w:val="24"/>
                <w:lang w:val="en-US" w:eastAsia="en-US"/>
              </w:rPr>
              <w:t>224624</w:t>
            </w:r>
          </w:p>
        </w:tc>
      </w:tr>
    </w:tbl>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4249D5" w:rsidRPr="003C0827" w:rsidRDefault="004249D5" w:rsidP="004249D5">
      <w:pPr>
        <w:pStyle w:val="a3"/>
        <w:numPr>
          <w:ilvl w:val="0"/>
          <w:numId w:val="8"/>
        </w:numPr>
        <w:jc w:val="both"/>
        <w:rPr>
          <w:i/>
          <w:szCs w:val="24"/>
          <w:lang w:val="kk-KZ"/>
        </w:rPr>
      </w:pPr>
      <w:r w:rsidRPr="003C0827">
        <w:rPr>
          <w:b/>
          <w:szCs w:val="24"/>
          <w:lang w:val="kk-KZ"/>
        </w:rPr>
        <w:t xml:space="preserve">Главный специалист отдела учета, анализа и информационных технологий Управления государственных доходов по району Тұран Департамента государственных доходов по городу Шымкент, </w:t>
      </w:r>
      <w:r w:rsidRPr="003C0827">
        <w:rPr>
          <w:i/>
          <w:szCs w:val="24"/>
          <w:lang w:val="kk-KZ"/>
        </w:rPr>
        <w:t>категория С-R-4</w:t>
      </w:r>
      <w:r w:rsidRPr="003C0827">
        <w:rPr>
          <w:i/>
          <w:szCs w:val="24"/>
        </w:rPr>
        <w:t>(</w:t>
      </w:r>
      <w:r w:rsidRPr="003C0827">
        <w:rPr>
          <w:i/>
          <w:szCs w:val="24"/>
          <w:lang w:val="kk-KZ"/>
        </w:rPr>
        <w:t xml:space="preserve">блок В) – 1 </w:t>
      </w:r>
      <w:r>
        <w:rPr>
          <w:i/>
          <w:szCs w:val="24"/>
          <w:lang w:val="kk-KZ"/>
        </w:rPr>
        <w:t>единица (</w:t>
      </w:r>
      <w:r w:rsidRPr="00F96DDC">
        <w:rPr>
          <w:b/>
          <w:i/>
          <w:szCs w:val="24"/>
          <w:u w:val="single"/>
          <w:lang w:val="kk-KZ"/>
        </w:rPr>
        <w:t xml:space="preserve">временная </w:t>
      </w:r>
      <w:r>
        <w:rPr>
          <w:i/>
          <w:szCs w:val="24"/>
          <w:lang w:val="kk-KZ"/>
        </w:rPr>
        <w:t xml:space="preserve">на время отпуска по уходу за ребенком основного работника до </w:t>
      </w:r>
      <w:r w:rsidRPr="00CA1B6C">
        <w:rPr>
          <w:i/>
          <w:szCs w:val="24"/>
          <w:lang w:val="kk-KZ"/>
        </w:rPr>
        <w:t>20.05.2024</w:t>
      </w:r>
      <w:r>
        <w:rPr>
          <w:i/>
          <w:szCs w:val="24"/>
          <w:lang w:val="kk-KZ"/>
        </w:rPr>
        <w:t>года)</w:t>
      </w:r>
    </w:p>
    <w:p w:rsidR="004249D5" w:rsidRDefault="004249D5" w:rsidP="004249D5">
      <w:pPr>
        <w:pStyle w:val="a8"/>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отдела, учет поступления налогов и других обязательных платежей в бюджет согласно КБК,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r>
        <w:rPr>
          <w:lang w:val="kk-KZ"/>
        </w:rPr>
        <w:t>.</w:t>
      </w:r>
    </w:p>
    <w:p w:rsidR="004249D5" w:rsidRDefault="004249D5" w:rsidP="004249D5">
      <w:pPr>
        <w:pStyle w:val="a8"/>
        <w:spacing w:before="0" w:after="0"/>
        <w:jc w:val="both"/>
        <w:rPr>
          <w:lang w:val="kk-KZ"/>
        </w:rPr>
      </w:pPr>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lastRenderedPageBreak/>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4249D5" w:rsidRPr="00EC4768" w:rsidRDefault="004249D5" w:rsidP="004249D5">
      <w:pPr>
        <w:pStyle w:val="a3"/>
        <w:numPr>
          <w:ilvl w:val="0"/>
          <w:numId w:val="8"/>
        </w:numPr>
        <w:jc w:val="both"/>
        <w:rPr>
          <w:i/>
          <w:szCs w:val="24"/>
          <w:lang w:val="kk-KZ"/>
        </w:rPr>
      </w:pPr>
      <w:r w:rsidRPr="003C0827">
        <w:rPr>
          <w:b/>
          <w:szCs w:val="24"/>
          <w:lang w:val="kk-KZ"/>
        </w:rPr>
        <w:t>Главный специалист</w:t>
      </w:r>
      <w:r w:rsidRPr="00EC4768">
        <w:rPr>
          <w:b/>
          <w:szCs w:val="24"/>
          <w:lang w:val="kk-KZ"/>
        </w:rPr>
        <w:t xml:space="preserve"> отдела </w:t>
      </w:r>
      <w:r w:rsidRPr="00EC4768">
        <w:rPr>
          <w:b/>
          <w:bCs/>
          <w:iCs/>
          <w:szCs w:val="24"/>
          <w:lang w:val="kk-KZ"/>
        </w:rPr>
        <w:t>по работе с налогоплательщиками</w:t>
      </w:r>
      <w:r w:rsidRPr="00EC4768">
        <w:rPr>
          <w:b/>
          <w:szCs w:val="24"/>
          <w:lang w:val="kk-KZ"/>
        </w:rPr>
        <w:t xml:space="preserve"> Управления государственных доходов по району Тұран Департамента государственных доходов по городу Шымкент, </w:t>
      </w:r>
      <w:r w:rsidRPr="00EC4768">
        <w:rPr>
          <w:i/>
          <w:szCs w:val="24"/>
          <w:lang w:val="kk-KZ"/>
        </w:rPr>
        <w:t>категория С-R-4</w:t>
      </w:r>
      <w:r w:rsidRPr="00EC4768">
        <w:rPr>
          <w:i/>
          <w:szCs w:val="24"/>
        </w:rPr>
        <w:t>(</w:t>
      </w:r>
      <w:r w:rsidRPr="00EC4768">
        <w:rPr>
          <w:i/>
          <w:szCs w:val="24"/>
          <w:lang w:val="kk-KZ"/>
        </w:rPr>
        <w:t>блок А)</w:t>
      </w:r>
      <w:r>
        <w:rPr>
          <w:i/>
          <w:szCs w:val="24"/>
          <w:lang w:val="kk-KZ"/>
        </w:rPr>
        <w:t>- 1 единица</w:t>
      </w:r>
    </w:p>
    <w:p w:rsidR="004249D5" w:rsidRDefault="004249D5" w:rsidP="004249D5">
      <w:pPr>
        <w:pStyle w:val="a8"/>
        <w:spacing w:before="0" w:after="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4249D5" w:rsidRDefault="004249D5" w:rsidP="004249D5">
      <w:pPr>
        <w:pStyle w:val="a8"/>
        <w:spacing w:before="0" w:after="0"/>
        <w:ind w:firstLine="708"/>
        <w:jc w:val="both"/>
        <w:rPr>
          <w:lang w:val="kk-KZ"/>
        </w:rPr>
      </w:pPr>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4249D5" w:rsidRDefault="004249D5" w:rsidP="004249D5">
      <w:pPr>
        <w:pStyle w:val="a8"/>
        <w:spacing w:before="0" w:after="0"/>
        <w:ind w:firstLine="708"/>
        <w:jc w:val="both"/>
        <w:rPr>
          <w:lang w:val="kk-KZ"/>
        </w:rPr>
      </w:pPr>
    </w:p>
    <w:p w:rsidR="004249D5" w:rsidRDefault="004249D5" w:rsidP="004249D5">
      <w:pPr>
        <w:tabs>
          <w:tab w:val="left" w:pos="1134"/>
        </w:tabs>
        <w:contextualSpacing/>
        <w:jc w:val="both"/>
        <w:rPr>
          <w:sz w:val="24"/>
          <w:szCs w:val="24"/>
          <w:lang w:val="kk-KZ" w:eastAsia="ar-SA"/>
        </w:rPr>
      </w:pPr>
    </w:p>
    <w:p w:rsidR="004249D5" w:rsidRPr="003C3F64" w:rsidRDefault="004249D5" w:rsidP="004249D5">
      <w:pPr>
        <w:pStyle w:val="a3"/>
        <w:numPr>
          <w:ilvl w:val="0"/>
          <w:numId w:val="8"/>
        </w:numPr>
        <w:jc w:val="both"/>
        <w:rPr>
          <w:i/>
          <w:szCs w:val="24"/>
          <w:lang w:val="kk-KZ"/>
        </w:rPr>
      </w:pPr>
      <w:r w:rsidRPr="003C3F64">
        <w:rPr>
          <w:b/>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Cs w:val="24"/>
          <w:lang w:val="kk-KZ"/>
        </w:rPr>
        <w:t>категория С-R-4</w:t>
      </w:r>
      <w:r w:rsidRPr="003C3F64">
        <w:rPr>
          <w:i/>
          <w:szCs w:val="24"/>
        </w:rPr>
        <w:t>(</w:t>
      </w:r>
      <w:r w:rsidRPr="003C3F64">
        <w:rPr>
          <w:i/>
          <w:szCs w:val="24"/>
          <w:lang w:val="kk-KZ"/>
        </w:rPr>
        <w:t xml:space="preserve">блок А) - </w:t>
      </w:r>
      <w:r w:rsidR="00B7448A">
        <w:rPr>
          <w:i/>
          <w:szCs w:val="24"/>
        </w:rPr>
        <w:t>1</w:t>
      </w:r>
      <w:r w:rsidRPr="003C3F64">
        <w:rPr>
          <w:i/>
          <w:szCs w:val="24"/>
          <w:lang w:val="kk-KZ"/>
        </w:rPr>
        <w:t xml:space="preserve"> единиц</w:t>
      </w:r>
      <w:r w:rsidR="00B7448A">
        <w:rPr>
          <w:i/>
          <w:szCs w:val="24"/>
          <w:lang w:val="kk-KZ"/>
        </w:rPr>
        <w:t>а</w:t>
      </w:r>
      <w:bookmarkStart w:id="0" w:name="_GoBack"/>
      <w:bookmarkEnd w:id="0"/>
      <w:r w:rsidRPr="003C3F64">
        <w:rPr>
          <w:i/>
          <w:szCs w:val="24"/>
          <w:lang w:val="kk-KZ"/>
        </w:rPr>
        <w:t>.</w:t>
      </w:r>
    </w:p>
    <w:p w:rsidR="004249D5" w:rsidRPr="004249D5" w:rsidRDefault="004249D5" w:rsidP="004249D5">
      <w:pPr>
        <w:jc w:val="both"/>
        <w:rPr>
          <w:b w:val="0"/>
          <w:bCs w:val="0"/>
          <w:i w:val="0"/>
          <w:iCs w:val="0"/>
          <w:sz w:val="24"/>
          <w:szCs w:val="24"/>
        </w:rPr>
      </w:pPr>
      <w:r w:rsidRPr="00B7448A">
        <w:rPr>
          <w:bCs w:val="0"/>
          <w:i w:val="0"/>
          <w:iCs w:val="0"/>
          <w:sz w:val="24"/>
          <w:szCs w:val="24"/>
          <w:lang w:val="kk-KZ"/>
        </w:rPr>
        <w:t>Функциональные обязанности:</w:t>
      </w:r>
      <w:r>
        <w:rPr>
          <w:sz w:val="24"/>
          <w:szCs w:val="24"/>
          <w:lang w:val="kk-KZ"/>
        </w:rPr>
        <w:t xml:space="preserve"> </w:t>
      </w:r>
      <w:r w:rsidRPr="004249D5">
        <w:rPr>
          <w:b w:val="0"/>
          <w:bCs w:val="0"/>
          <w:i w:val="0"/>
          <w:iCs w:val="0"/>
          <w:sz w:val="24"/>
          <w:szCs w:val="24"/>
        </w:rPr>
        <w:t xml:space="preserve">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w:t>
      </w:r>
      <w:r w:rsidRPr="004249D5">
        <w:rPr>
          <w:b w:val="0"/>
          <w:bCs w:val="0"/>
          <w:i w:val="0"/>
          <w:iCs w:val="0"/>
          <w:sz w:val="24"/>
          <w:szCs w:val="24"/>
        </w:rPr>
        <w:lastRenderedPageBreak/>
        <w:t>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4249D5" w:rsidRDefault="004249D5" w:rsidP="004249D5">
      <w:pPr>
        <w:pStyle w:val="a8"/>
        <w:spacing w:before="0" w:after="0"/>
        <w:ind w:firstLine="708"/>
        <w:jc w:val="both"/>
        <w:rPr>
          <w:lang w:val="kk-KZ"/>
        </w:rPr>
      </w:pPr>
      <w:r w:rsidRPr="004249D5">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4249D5" w:rsidRPr="00A2123F" w:rsidRDefault="004249D5" w:rsidP="004249D5">
      <w:pPr>
        <w:pStyle w:val="a8"/>
        <w:spacing w:before="0" w:after="0"/>
        <w:ind w:firstLine="708"/>
        <w:jc w:val="both"/>
        <w:rPr>
          <w:lang w:val="kk-KZ"/>
        </w:rPr>
      </w:pPr>
    </w:p>
    <w:p w:rsidR="004148FD" w:rsidRDefault="004148FD" w:rsidP="004148FD">
      <w:pPr>
        <w:tabs>
          <w:tab w:val="left" w:pos="1134"/>
        </w:tabs>
        <w:contextualSpacing/>
        <w:jc w:val="both"/>
        <w:rPr>
          <w:sz w:val="24"/>
          <w:szCs w:val="24"/>
          <w:lang w:val="kk-KZ" w:eastAsia="ar-SA"/>
        </w:rPr>
      </w:pPr>
    </w:p>
    <w:p w:rsidR="00D02871" w:rsidRPr="0058342D" w:rsidRDefault="00D02871" w:rsidP="0058342D">
      <w:pPr>
        <w:tabs>
          <w:tab w:val="left" w:pos="1134"/>
        </w:tabs>
        <w:contextualSpacing/>
        <w:jc w:val="both"/>
        <w:rPr>
          <w:b w:val="0"/>
          <w:i w:val="0"/>
          <w:sz w:val="24"/>
          <w:szCs w:val="24"/>
          <w:lang w:val="kk-KZ" w:eastAsia="ar-SA"/>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CF225D">
        <w:rPr>
          <w:b w:val="0"/>
          <w:i w:val="0"/>
          <w:sz w:val="24"/>
          <w:szCs w:val="24"/>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w:t>
      </w:r>
      <w:r w:rsidR="00241A11" w:rsidRPr="00563C75">
        <w:rPr>
          <w:i w:val="0"/>
          <w:sz w:val="24"/>
          <w:szCs w:val="24"/>
          <w:lang w:val="kk-KZ"/>
        </w:rPr>
        <w:lastRenderedPageBreak/>
        <w:t>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r>
            <w:r w:rsidRPr="00CF225D">
              <w:rPr>
                <w:b w:val="0"/>
                <w:i w:val="0"/>
                <w:sz w:val="24"/>
                <w:szCs w:val="24"/>
              </w:rPr>
              <w:lastRenderedPageBreak/>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lastRenderedPageBreak/>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25" w:rsidRDefault="00E25E25" w:rsidP="00A34048">
      <w:r>
        <w:separator/>
      </w:r>
    </w:p>
  </w:endnote>
  <w:endnote w:type="continuationSeparator" w:id="0">
    <w:p w:rsidR="00E25E25" w:rsidRDefault="00E25E25"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25" w:rsidRDefault="00E25E25" w:rsidP="00A34048">
      <w:r>
        <w:separator/>
      </w:r>
    </w:p>
  </w:footnote>
  <w:footnote w:type="continuationSeparator" w:id="0">
    <w:p w:rsidR="00E25E25" w:rsidRDefault="00E25E25"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1020B"/>
    <w:rsid w:val="00414086"/>
    <w:rsid w:val="004148FD"/>
    <w:rsid w:val="00422D21"/>
    <w:rsid w:val="004249D5"/>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094E"/>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7448A"/>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25E25"/>
    <w:rsid w:val="00E37369"/>
    <w:rsid w:val="00E46B1F"/>
    <w:rsid w:val="00E63F91"/>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FA01"/>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52</cp:revision>
  <cp:lastPrinted>2019-05-27T12:16:00Z</cp:lastPrinted>
  <dcterms:created xsi:type="dcterms:W3CDTF">2023-07-10T05:26:00Z</dcterms:created>
  <dcterms:modified xsi:type="dcterms:W3CDTF">2023-11-24T11:10:00Z</dcterms:modified>
</cp:coreProperties>
</file>