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5E9F7AB1"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2732BA9C" w14:textId="77777777" w:rsidR="00BD1F7A" w:rsidRPr="00BD1F7A" w:rsidRDefault="00BD1F7A" w:rsidP="00BD1F7A">
      <w:pPr>
        <w:rPr>
          <w:lang w:val="kk-KZ"/>
        </w:rPr>
      </w:pPr>
    </w:p>
    <w:p w14:paraId="13BA098D" w14:textId="77777777" w:rsidR="00BD1F7A" w:rsidRPr="001A19C8" w:rsidRDefault="00BD1F7A" w:rsidP="00BD1F7A">
      <w:pPr>
        <w:widowControl/>
        <w:tabs>
          <w:tab w:val="left" w:pos="-1405"/>
          <w:tab w:val="left" w:pos="142"/>
          <w:tab w:val="left" w:pos="9554"/>
          <w:tab w:val="left" w:pos="9923"/>
        </w:tabs>
        <w:snapToGrid/>
        <w:jc w:val="both"/>
        <w:outlineLvl w:val="0"/>
        <w:rPr>
          <w:i w:val="0"/>
          <w:sz w:val="24"/>
          <w:szCs w:val="24"/>
          <w:lang w:val="kk-KZ"/>
        </w:rPr>
      </w:pP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14:paraId="630D1AD2" w14:textId="77777777" w:rsidR="00BD1F7A" w:rsidRPr="00C250F4" w:rsidRDefault="00BD1F7A" w:rsidP="00BD1F7A">
      <w:pPr>
        <w:jc w:val="both"/>
        <w:rPr>
          <w:b w:val="0"/>
          <w:bCs w:val="0"/>
          <w:i w:val="0"/>
          <w:iCs w:val="0"/>
          <w:sz w:val="24"/>
          <w:szCs w:val="24"/>
          <w:lang w:val="kk-KZ"/>
        </w:rPr>
      </w:pPr>
      <w:r w:rsidRPr="00C250F4">
        <w:rPr>
          <w:color w:val="000000"/>
          <w:lang w:val="kk-KZ"/>
        </w:rPr>
        <w:t xml:space="preserve">      </w:t>
      </w:r>
      <w:r w:rsidRPr="00C250F4">
        <w:rPr>
          <w:b w:val="0"/>
          <w:bCs w:val="0"/>
          <w:i w:val="0"/>
          <w:iCs w:val="0"/>
          <w:color w:val="000000"/>
          <w:sz w:val="24"/>
          <w:szCs w:val="24"/>
          <w:lang w:val="kk-KZ"/>
        </w:rPr>
        <w:t>жоғары немесе жоғары оқу орнынан кейінгі білім;</w:t>
      </w:r>
    </w:p>
    <w:p w14:paraId="08CAD7C3" w14:textId="77777777" w:rsidR="00BD1F7A" w:rsidRPr="00C250F4" w:rsidRDefault="00BD1F7A" w:rsidP="00BD1F7A">
      <w:pPr>
        <w:jc w:val="both"/>
        <w:rPr>
          <w:b w:val="0"/>
          <w:bCs w:val="0"/>
          <w:i w:val="0"/>
          <w:iCs w:val="0"/>
          <w:sz w:val="24"/>
          <w:szCs w:val="24"/>
          <w:lang w:val="kk-KZ"/>
        </w:rPr>
      </w:pPr>
      <w:r w:rsidRPr="00C250F4">
        <w:rPr>
          <w:b w:val="0"/>
          <w:bCs w:val="0"/>
          <w:i w:val="0"/>
          <w:iCs w:val="0"/>
          <w:color w:val="000000"/>
          <w:sz w:val="24"/>
          <w:szCs w:val="24"/>
          <w:lang w:val="kk-KZ"/>
        </w:rPr>
        <w:t>      жұмыс өтілі екі жылдан кем емес (сот орындаушысы лауазымына жұмыс тәжірибесі талаптары қолданылмайды).</w:t>
      </w:r>
    </w:p>
    <w:p w14:paraId="68C415C6" w14:textId="77777777" w:rsidR="00BD1F7A" w:rsidRDefault="00BD1F7A" w:rsidP="00BD1F7A">
      <w:pPr>
        <w:tabs>
          <w:tab w:val="left" w:pos="567"/>
          <w:tab w:val="left" w:pos="1134"/>
        </w:tabs>
        <w:contextualSpacing/>
        <w:jc w:val="both"/>
        <w:rPr>
          <w:b w:val="0"/>
          <w:i w:val="0"/>
          <w:color w:val="000000"/>
          <w:sz w:val="24"/>
          <w:szCs w:val="24"/>
          <w:lang w:val="kk-KZ"/>
        </w:rPr>
      </w:pPr>
    </w:p>
    <w:p w14:paraId="45844723" w14:textId="77777777" w:rsidR="00BD1F7A" w:rsidRDefault="00BD1F7A" w:rsidP="00BD1F7A">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EA9ED5E" w14:textId="77777777" w:rsidR="00BD1F7A" w:rsidRPr="002A1CB2" w:rsidRDefault="00BD1F7A" w:rsidP="00BD1F7A">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BD1F7A" w:rsidRPr="002575AC" w14:paraId="6F5F87CE" w14:textId="77777777" w:rsidTr="00BD399F">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8041F51" w14:textId="77777777" w:rsidR="00BD1F7A" w:rsidRPr="002575AC" w:rsidRDefault="00BD1F7A" w:rsidP="00BD399F">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31323D1E" w14:textId="77777777" w:rsidR="00BD1F7A" w:rsidRPr="002575AC" w:rsidRDefault="00BD1F7A" w:rsidP="00BD399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BD1F7A" w:rsidRPr="002575AC" w14:paraId="4FCAD3C7" w14:textId="77777777" w:rsidTr="00BD399F">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EE9D6DB" w14:textId="77777777" w:rsidR="00BD1F7A" w:rsidRPr="002575AC" w:rsidRDefault="00BD1F7A" w:rsidP="00BD399F">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BE4747D" w14:textId="77777777" w:rsidR="00BD1F7A" w:rsidRPr="002575AC" w:rsidRDefault="00BD1F7A" w:rsidP="00BD399F">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655AC95" w14:textId="77777777" w:rsidR="00BD1F7A" w:rsidRPr="002575AC" w:rsidRDefault="00BD1F7A" w:rsidP="00BD399F">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BD1F7A" w:rsidRPr="00B009D0" w14:paraId="400D9A45" w14:textId="77777777" w:rsidTr="00BD399F">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332B58AE" w14:textId="77777777" w:rsidR="00BD1F7A" w:rsidRPr="00630E95" w:rsidRDefault="00BD1F7A" w:rsidP="00BD399F">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Pr>
                <w:rFonts w:ascii="Times New Roman" w:hAnsi="Times New Roman" w:cs="Times New Roman"/>
                <w:i w:val="0"/>
                <w:color w:val="auto"/>
                <w:sz w:val="24"/>
                <w:szCs w:val="24"/>
                <w:lang w:val="kk-KZ"/>
              </w:rPr>
              <w:t xml:space="preserve">4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14:paraId="20F5C775" w14:textId="77777777" w:rsidR="00BD1F7A" w:rsidRPr="00290A2D" w:rsidRDefault="00BD1F7A" w:rsidP="00BD399F">
            <w:pPr>
              <w:rPr>
                <w:b w:val="0"/>
                <w:i w:val="0"/>
                <w:sz w:val="24"/>
                <w:szCs w:val="24"/>
                <w:lang w:val="kk-KZ"/>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14:paraId="0FF1887B" w14:textId="77777777" w:rsidR="00BD1F7A" w:rsidRPr="00290A2D" w:rsidRDefault="00BD1F7A" w:rsidP="00BD399F">
            <w:pPr>
              <w:rPr>
                <w:b w:val="0"/>
                <w:i w:val="0"/>
                <w:sz w:val="24"/>
                <w:szCs w:val="24"/>
                <w:lang w:val="kk-KZ"/>
              </w:rPr>
            </w:pPr>
            <w:r w:rsidRPr="00290A2D">
              <w:rPr>
                <w:b w:val="0"/>
                <w:bCs w:val="0"/>
                <w:i w:val="0"/>
                <w:iCs w:val="0"/>
                <w:kern w:val="2"/>
                <w:sz w:val="24"/>
                <w:szCs w:val="24"/>
                <w:lang w:val="kk-KZ" w:eastAsia="en-US"/>
              </w:rPr>
              <w:t>350615</w:t>
            </w:r>
          </w:p>
        </w:tc>
      </w:tr>
    </w:tbl>
    <w:p w14:paraId="4D85BDF1" w14:textId="77777777" w:rsidR="00E10B2A" w:rsidRDefault="00E10B2A" w:rsidP="00E10B2A">
      <w:pPr>
        <w:rPr>
          <w:kern w:val="2"/>
          <w:lang w:val="kk-KZ"/>
        </w:rPr>
      </w:pPr>
      <w:r>
        <w:rPr>
          <w:kern w:val="2"/>
          <w:lang w:val="kk-KZ"/>
        </w:rPr>
        <w:t xml:space="preserve">   </w:t>
      </w:r>
    </w:p>
    <w:p w14:paraId="49224F90" w14:textId="77777777" w:rsidR="0093153B" w:rsidRPr="005B6C15" w:rsidRDefault="0093153B" w:rsidP="0093153B">
      <w:pPr>
        <w:tabs>
          <w:tab w:val="left" w:pos="9639"/>
        </w:tabs>
        <w:adjustRightInd w:val="0"/>
        <w:jc w:val="both"/>
        <w:rPr>
          <w:b w:val="0"/>
          <w:i w:val="0"/>
          <w:sz w:val="24"/>
          <w:szCs w:val="24"/>
        </w:rPr>
      </w:pPr>
    </w:p>
    <w:p w14:paraId="4453171C" w14:textId="51F1339A"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002A692C">
        <w:rPr>
          <w:i w:val="0"/>
          <w:sz w:val="24"/>
          <w:szCs w:val="24"/>
          <w:lang w:val="kk-KZ"/>
        </w:rPr>
        <w:t xml:space="preserve">                  </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468162A9" w:rsidR="0063582B" w:rsidRDefault="00481AC6" w:rsidP="00481AC6">
      <w:pPr>
        <w:pStyle w:val="a3"/>
        <w:tabs>
          <w:tab w:val="left" w:pos="426"/>
          <w:tab w:val="left" w:pos="9498"/>
        </w:tabs>
        <w:ind w:left="0"/>
        <w:jc w:val="both"/>
        <w:rPr>
          <w:b/>
          <w:szCs w:val="24"/>
          <w:lang w:val="kk-KZ"/>
        </w:rPr>
      </w:pPr>
      <w:r>
        <w:rPr>
          <w:b/>
          <w:szCs w:val="24"/>
          <w:lang w:val="kk-KZ"/>
        </w:rPr>
        <w:t xml:space="preserve">       </w:t>
      </w:r>
      <w:r w:rsidR="0063582B"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CF259D">
        <w:rPr>
          <w:b/>
          <w:szCs w:val="24"/>
          <w:lang w:val="kk-KZ"/>
        </w:rPr>
        <w:t xml:space="preserve"> </w:t>
      </w:r>
      <w:r w:rsidR="007134A3" w:rsidRPr="007134A3">
        <w:rPr>
          <w:b/>
          <w:szCs w:val="24"/>
          <w:lang w:val="kk-KZ"/>
        </w:rPr>
        <w:t>«Оңтүстік» Арнайы экономикалық аймағы» кеден бекеті</w:t>
      </w:r>
      <w:r w:rsidR="007134A3">
        <w:rPr>
          <w:b/>
          <w:szCs w:val="24"/>
          <w:lang w:val="kk-KZ"/>
        </w:rPr>
        <w:t xml:space="preserve"> басшысы</w:t>
      </w:r>
      <w:r>
        <w:rPr>
          <w:b/>
          <w:szCs w:val="24"/>
          <w:lang w:val="kk-KZ"/>
        </w:rPr>
        <w:t xml:space="preserve">ның орынбасары                           </w:t>
      </w:r>
      <w:r w:rsidR="007134A3">
        <w:rPr>
          <w:b/>
          <w:szCs w:val="24"/>
          <w:lang w:val="kk-KZ"/>
        </w:rPr>
        <w:t xml:space="preserve"> </w:t>
      </w:r>
      <w:r w:rsidR="0063582B" w:rsidRPr="0063582B">
        <w:rPr>
          <w:b/>
          <w:szCs w:val="24"/>
          <w:lang w:val="sr-Cyrl-CS"/>
        </w:rPr>
        <w:t>(</w:t>
      </w:r>
      <w:r w:rsidR="0063582B" w:rsidRPr="0063582B">
        <w:rPr>
          <w:b/>
          <w:szCs w:val="24"/>
          <w:lang w:val="kk-KZ"/>
        </w:rPr>
        <w:t>С-О-</w:t>
      </w:r>
      <w:r>
        <w:rPr>
          <w:b/>
          <w:szCs w:val="24"/>
          <w:lang w:val="kk-KZ"/>
        </w:rPr>
        <w:t>4</w:t>
      </w:r>
      <w:r w:rsidR="0063582B" w:rsidRPr="0063582B">
        <w:rPr>
          <w:b/>
          <w:szCs w:val="24"/>
          <w:lang w:val="kk-KZ"/>
        </w:rPr>
        <w:t xml:space="preserve">  санаты, А блок),</w:t>
      </w:r>
      <w:r w:rsidR="002A692C">
        <w:rPr>
          <w:b/>
          <w:szCs w:val="24"/>
          <w:lang w:val="kk-KZ"/>
        </w:rPr>
        <w:t xml:space="preserve">  </w:t>
      </w:r>
      <w:r w:rsidR="0063582B" w:rsidRPr="0063582B">
        <w:rPr>
          <w:b/>
          <w:szCs w:val="24"/>
          <w:lang w:val="kk-KZ"/>
        </w:rPr>
        <w:t xml:space="preserve"> 1 бірлік.</w:t>
      </w:r>
    </w:p>
    <w:p w14:paraId="4761654E" w14:textId="3D6D6941" w:rsidR="00481AC6" w:rsidRPr="00481AC6" w:rsidRDefault="00481AC6" w:rsidP="00481AC6">
      <w:pPr>
        <w:pStyle w:val="a3"/>
        <w:tabs>
          <w:tab w:val="left" w:pos="426"/>
          <w:tab w:val="left" w:pos="9498"/>
        </w:tabs>
        <w:ind w:left="0"/>
        <w:jc w:val="both"/>
        <w:rPr>
          <w:szCs w:val="24"/>
          <w:lang w:val="kk-KZ"/>
        </w:rPr>
      </w:pPr>
      <w:r w:rsidRPr="00CF259D">
        <w:rPr>
          <w:szCs w:val="24"/>
          <w:lang w:val="kk-KZ"/>
        </w:rPr>
        <w:t xml:space="preserve">  </w:t>
      </w:r>
      <w:r>
        <w:rPr>
          <w:szCs w:val="24"/>
          <w:lang w:val="kk-KZ"/>
        </w:rPr>
        <w:t xml:space="preserve">      </w:t>
      </w:r>
      <w:r w:rsidRPr="00481AC6">
        <w:rPr>
          <w:b/>
          <w:bCs/>
          <w:szCs w:val="24"/>
          <w:lang w:val="kk-KZ"/>
        </w:rPr>
        <w:t>Функционалды міндеттері:</w:t>
      </w:r>
      <w:r w:rsidRPr="00481AC6">
        <w:rPr>
          <w:szCs w:val="24"/>
          <w:lang w:val="kk-KZ"/>
        </w:rPr>
        <w:t xml:space="preserve"> Кеден бекетінің жұмысын ұйымдастыру, үйлестіру, бақылау және жүзеге асыруды қамтамасыз етеді; кеден бекеті лауазымды тұлғалары арасында қызметтік тәртіпті нығайту бойынша іс-шараларды ұйымдастырады және</w:t>
      </w:r>
      <w:r w:rsidRPr="00481AC6">
        <w:rPr>
          <w:b/>
          <w:bCs/>
          <w:i/>
          <w:iCs/>
          <w:szCs w:val="24"/>
          <w:lang w:val="kk-KZ"/>
        </w:rPr>
        <w:t xml:space="preserve"> </w:t>
      </w:r>
      <w:r w:rsidRPr="00481AC6">
        <w:rPr>
          <w:szCs w:val="24"/>
          <w:lang w:val="kk-KZ"/>
        </w:rPr>
        <w:t>жүргізеді; кеден бекеті лауазымды тұлғаларының лауазымдық</w:t>
      </w:r>
      <w:r>
        <w:rPr>
          <w:szCs w:val="24"/>
          <w:lang w:val="kk-KZ"/>
        </w:rPr>
        <w:t xml:space="preserve"> </w:t>
      </w:r>
      <w:r w:rsidRPr="00481AC6">
        <w:rPr>
          <w:szCs w:val="24"/>
          <w:lang w:val="kk-KZ"/>
        </w:rPr>
        <w:t>нұсқаулықтарын бөледі</w:t>
      </w:r>
      <w:r>
        <w:rPr>
          <w:szCs w:val="24"/>
          <w:lang w:val="kk-KZ"/>
        </w:rPr>
        <w:t xml:space="preserve"> және бақылайды.</w:t>
      </w:r>
    </w:p>
    <w:p w14:paraId="7B488155" w14:textId="02D8DEF2" w:rsidR="00481AC6" w:rsidRPr="00481AC6" w:rsidRDefault="0063582B" w:rsidP="00481AC6">
      <w:pPr>
        <w:spacing w:line="238" w:lineRule="auto"/>
        <w:ind w:right="31"/>
        <w:jc w:val="both"/>
        <w:rPr>
          <w:b w:val="0"/>
          <w:bCs w:val="0"/>
          <w:i w:val="0"/>
          <w:iCs w:val="0"/>
          <w:sz w:val="24"/>
          <w:szCs w:val="24"/>
          <w:lang w:val="kk-KZ"/>
        </w:rPr>
      </w:pPr>
      <w:r>
        <w:rPr>
          <w:sz w:val="24"/>
          <w:szCs w:val="24"/>
          <w:lang w:val="kk-KZ"/>
        </w:rPr>
        <w:t xml:space="preserve">       </w:t>
      </w:r>
      <w:r w:rsidRPr="00481AC6">
        <w:rPr>
          <w:i w:val="0"/>
          <w:iCs w:val="0"/>
          <w:sz w:val="24"/>
          <w:szCs w:val="24"/>
          <w:lang w:val="kk-KZ"/>
        </w:rPr>
        <w:t>Конкурсқа қатысушыларға қойылатын талаптар:</w:t>
      </w:r>
      <w:r w:rsidRPr="00481AC6">
        <w:rPr>
          <w:b w:val="0"/>
          <w:bCs w:val="0"/>
          <w:i w:val="0"/>
          <w:iCs w:val="0"/>
          <w:sz w:val="24"/>
          <w:szCs w:val="24"/>
          <w:lang w:val="kk-KZ"/>
        </w:rPr>
        <w:t xml:space="preserve"> </w:t>
      </w:r>
      <w:r w:rsidR="00481AC6" w:rsidRPr="00481AC6">
        <w:rPr>
          <w:b w:val="0"/>
          <w:bCs w:val="0"/>
          <w:i w:val="0"/>
          <w:iCs w:val="0"/>
          <w:sz w:val="24"/>
          <w:szCs w:val="24"/>
          <w:lang w:val="kk-KZ"/>
        </w:rPr>
        <w:t>Жоғары білім, жоғары оқу орнынан кейінгі білім: бизнес, басқару және құқық (менеджмент</w:t>
      </w:r>
      <w:r w:rsidR="00BD1F7A">
        <w:rPr>
          <w:b w:val="0"/>
          <w:bCs w:val="0"/>
          <w:i w:val="0"/>
          <w:iCs w:val="0"/>
          <w:sz w:val="24"/>
          <w:szCs w:val="24"/>
          <w:lang w:val="kk-KZ"/>
        </w:rPr>
        <w:t>,</w:t>
      </w:r>
      <w:r w:rsidR="00481AC6" w:rsidRPr="00481AC6">
        <w:rPr>
          <w:b w:val="0"/>
          <w:bCs w:val="0"/>
          <w:i w:val="0"/>
          <w:iCs w:val="0"/>
          <w:sz w:val="24"/>
          <w:szCs w:val="24"/>
          <w:lang w:val="kk-KZ"/>
        </w:rPr>
        <w:t xml:space="preserve"> құқықтану</w:t>
      </w:r>
      <w:r w:rsidR="00BD1F7A">
        <w:rPr>
          <w:b w:val="0"/>
          <w:bCs w:val="0"/>
          <w:i w:val="0"/>
          <w:iCs w:val="0"/>
          <w:sz w:val="24"/>
          <w:szCs w:val="24"/>
          <w:lang w:val="kk-KZ"/>
        </w:rPr>
        <w:t>,</w:t>
      </w:r>
      <w:r w:rsidR="00481AC6" w:rsidRPr="00481AC6">
        <w:rPr>
          <w:b w:val="0"/>
          <w:bCs w:val="0"/>
          <w:i w:val="0"/>
          <w:iCs w:val="0"/>
          <w:sz w:val="24"/>
          <w:szCs w:val="24"/>
          <w:lang w:val="kk-KZ"/>
        </w:rPr>
        <w:t xml:space="preserve"> халықаралық құқық</w:t>
      </w:r>
      <w:r w:rsidR="00BD1F7A">
        <w:rPr>
          <w:b w:val="0"/>
          <w:bCs w:val="0"/>
          <w:i w:val="0"/>
          <w:iCs w:val="0"/>
          <w:sz w:val="24"/>
          <w:szCs w:val="24"/>
          <w:lang w:val="kk-KZ"/>
        </w:rPr>
        <w:t>,</w:t>
      </w:r>
      <w:r w:rsidR="00481AC6" w:rsidRPr="00481AC6">
        <w:rPr>
          <w:b w:val="0"/>
          <w:bCs w:val="0"/>
          <w:i w:val="0"/>
          <w:iCs w:val="0"/>
          <w:sz w:val="24"/>
          <w:szCs w:val="24"/>
          <w:lang w:val="kk-KZ"/>
        </w:rPr>
        <w:t xml:space="preserve"> кеден ісі</w:t>
      </w:r>
      <w:r w:rsidR="00BD1F7A">
        <w:rPr>
          <w:b w:val="0"/>
          <w:bCs w:val="0"/>
          <w:i w:val="0"/>
          <w:iCs w:val="0"/>
          <w:sz w:val="24"/>
          <w:szCs w:val="24"/>
          <w:lang w:val="kk-KZ"/>
        </w:rPr>
        <w:t>,</w:t>
      </w:r>
      <w:r w:rsidR="00481AC6" w:rsidRPr="00481AC6">
        <w:rPr>
          <w:b w:val="0"/>
          <w:bCs w:val="0"/>
          <w:i w:val="0"/>
          <w:iCs w:val="0"/>
          <w:sz w:val="24"/>
          <w:szCs w:val="24"/>
          <w:lang w:val="kk-KZ"/>
        </w:rPr>
        <w:t xml:space="preserve"> экономика</w:t>
      </w:r>
      <w:r w:rsidR="00BD1F7A">
        <w:rPr>
          <w:b w:val="0"/>
          <w:bCs w:val="0"/>
          <w:i w:val="0"/>
          <w:iCs w:val="0"/>
          <w:sz w:val="24"/>
          <w:szCs w:val="24"/>
          <w:lang w:val="kk-KZ"/>
        </w:rPr>
        <w:t>,</w:t>
      </w:r>
      <w:r w:rsidR="00481AC6" w:rsidRPr="00481AC6">
        <w:rPr>
          <w:b w:val="0"/>
          <w:bCs w:val="0"/>
          <w:i w:val="0"/>
          <w:iCs w:val="0"/>
          <w:sz w:val="24"/>
          <w:szCs w:val="24"/>
          <w:lang w:val="kk-KZ"/>
        </w:rPr>
        <w:t xml:space="preserve"> есеп және аудит</w:t>
      </w:r>
      <w:r w:rsidR="00BD1F7A">
        <w:rPr>
          <w:b w:val="0"/>
          <w:bCs w:val="0"/>
          <w:i w:val="0"/>
          <w:iCs w:val="0"/>
          <w:sz w:val="24"/>
          <w:szCs w:val="24"/>
          <w:lang w:val="kk-KZ"/>
        </w:rPr>
        <w:t>,</w:t>
      </w:r>
      <w:r w:rsidR="00481AC6" w:rsidRPr="00481AC6">
        <w:rPr>
          <w:b w:val="0"/>
          <w:bCs w:val="0"/>
          <w:i w:val="0"/>
          <w:iCs w:val="0"/>
          <w:sz w:val="24"/>
          <w:szCs w:val="24"/>
          <w:lang w:val="kk-KZ"/>
        </w:rPr>
        <w:t xml:space="preserve"> қаржы</w:t>
      </w:r>
      <w:r w:rsidR="00BD1F7A">
        <w:rPr>
          <w:b w:val="0"/>
          <w:bCs w:val="0"/>
          <w:i w:val="0"/>
          <w:iCs w:val="0"/>
          <w:sz w:val="24"/>
          <w:szCs w:val="24"/>
          <w:lang w:val="kk-KZ"/>
        </w:rPr>
        <w:t>,</w:t>
      </w:r>
      <w:r w:rsidR="00481AC6" w:rsidRPr="00481AC6">
        <w:rPr>
          <w:b w:val="0"/>
          <w:bCs w:val="0"/>
          <w:i w:val="0"/>
          <w:iCs w:val="0"/>
          <w:sz w:val="24"/>
          <w:szCs w:val="24"/>
          <w:lang w:val="kk-KZ"/>
        </w:rPr>
        <w:t xml:space="preserve"> мемлекеттік және жергілікті басқару</w:t>
      </w:r>
      <w:r w:rsidR="00BD1F7A">
        <w:rPr>
          <w:b w:val="0"/>
          <w:bCs w:val="0"/>
          <w:i w:val="0"/>
          <w:iCs w:val="0"/>
          <w:sz w:val="24"/>
          <w:szCs w:val="24"/>
          <w:lang w:val="kk-KZ"/>
        </w:rPr>
        <w:t>,</w:t>
      </w:r>
      <w:r w:rsidR="00481AC6" w:rsidRPr="00481AC6">
        <w:rPr>
          <w:b w:val="0"/>
          <w:bCs w:val="0"/>
          <w:i w:val="0"/>
          <w:iCs w:val="0"/>
          <w:sz w:val="24"/>
          <w:szCs w:val="24"/>
          <w:lang w:val="kk-KZ"/>
        </w:rPr>
        <w:t xml:space="preserve"> әлемдік экономика)</w:t>
      </w:r>
      <w:r w:rsidR="00481AC6">
        <w:rPr>
          <w:b w:val="0"/>
          <w:bCs w:val="0"/>
          <w:i w:val="0"/>
          <w:iCs w:val="0"/>
          <w:sz w:val="24"/>
          <w:szCs w:val="24"/>
          <w:lang w:val="kk-KZ"/>
        </w:rPr>
        <w:t>.</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w:t>
      </w:r>
      <w:r w:rsidRPr="00A65C00">
        <w:rPr>
          <w:b w:val="0"/>
          <w:i w:val="0"/>
          <w:sz w:val="24"/>
          <w:szCs w:val="24"/>
          <w:lang w:val="kk-KZ"/>
        </w:rPr>
        <w:lastRenderedPageBreak/>
        <w:t xml:space="preserve">Қағидалардың </w:t>
      </w:r>
      <w:r w:rsidR="00BD1F7A">
        <w:fldChar w:fldCharType="begin"/>
      </w:r>
      <w:r w:rsidR="00BD1F7A" w:rsidRPr="00BD1F7A">
        <w:rPr>
          <w:lang w:val="kk-KZ"/>
        </w:rPr>
        <w:instrText xml:space="preserve"> HYPERLINK "http://10.61.42.188/kaz/docs/V1700014939" \l "z305" </w:instrText>
      </w:r>
      <w:r w:rsidR="00BD1F7A">
        <w:fldChar w:fldCharType="separate"/>
      </w:r>
      <w:r w:rsidRPr="00A65C00">
        <w:rPr>
          <w:b w:val="0"/>
          <w:i w:val="0"/>
          <w:color w:val="0000FF"/>
          <w:sz w:val="24"/>
          <w:szCs w:val="24"/>
          <w:u w:val="single"/>
          <w:lang w:val="kk-KZ"/>
        </w:rPr>
        <w:t>1-қосымшасына</w:t>
      </w:r>
      <w:r w:rsidR="00BD1F7A">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6"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66CD0658"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w:t>
      </w:r>
      <w:r w:rsidR="00481AC6">
        <w:rPr>
          <w:b w:val="0"/>
          <w:bCs w:val="0"/>
          <w:i w:val="0"/>
          <w:iCs w:val="0"/>
          <w:spacing w:val="2"/>
          <w:sz w:val="24"/>
          <w:szCs w:val="24"/>
          <w:lang w:val="kk-KZ"/>
        </w:rPr>
        <w:t xml:space="preserve">               </w:t>
      </w:r>
      <w:r w:rsidRPr="00F60FD7">
        <w:rPr>
          <w:b w:val="0"/>
          <w:bCs w:val="0"/>
          <w:i w:val="0"/>
          <w:iCs w:val="0"/>
          <w:spacing w:val="2"/>
          <w:sz w:val="24"/>
          <w:szCs w:val="24"/>
          <w:lang w:val="kk-KZ"/>
        </w:rPr>
        <w:t xml:space="preserve">2021 жылғы 10 қыркүйектегі № 158 </w:t>
      </w:r>
      <w:hyperlink r:id="rId7"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40BB3434" w:rsidR="00104821" w:rsidRDefault="00104821" w:rsidP="00104821">
      <w:pPr>
        <w:pStyle w:val="1"/>
        <w:rPr>
          <w:sz w:val="24"/>
          <w:szCs w:val="24"/>
          <w:lang w:val="kk-KZ"/>
        </w:rPr>
      </w:pPr>
    </w:p>
    <w:p w14:paraId="68CE8116" w14:textId="553B0CCC" w:rsidR="00626D3F" w:rsidRDefault="00626D3F" w:rsidP="00104821">
      <w:pPr>
        <w:pStyle w:val="1"/>
        <w:rPr>
          <w:sz w:val="24"/>
          <w:szCs w:val="24"/>
          <w:lang w:val="kk-KZ"/>
        </w:rPr>
      </w:pPr>
    </w:p>
    <w:p w14:paraId="5566C5D9" w14:textId="62C10A92" w:rsidR="00626D3F" w:rsidRDefault="00626D3F" w:rsidP="00104821">
      <w:pPr>
        <w:pStyle w:val="1"/>
        <w:rPr>
          <w:sz w:val="24"/>
          <w:szCs w:val="24"/>
          <w:lang w:val="kk-KZ"/>
        </w:rPr>
      </w:pPr>
    </w:p>
    <w:p w14:paraId="22BF5CBB" w14:textId="225535AC" w:rsidR="00626D3F" w:rsidRDefault="00626D3F"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D1F7A"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64A2C"/>
    <w:rsid w:val="0027114D"/>
    <w:rsid w:val="0027621F"/>
    <w:rsid w:val="00276851"/>
    <w:rsid w:val="00280348"/>
    <w:rsid w:val="00286A81"/>
    <w:rsid w:val="002871EC"/>
    <w:rsid w:val="00287D27"/>
    <w:rsid w:val="00293939"/>
    <w:rsid w:val="00295499"/>
    <w:rsid w:val="002959D1"/>
    <w:rsid w:val="002976D6"/>
    <w:rsid w:val="002A1CB2"/>
    <w:rsid w:val="002A20FD"/>
    <w:rsid w:val="002A692C"/>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0112"/>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1AC6"/>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6D3F"/>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134A3"/>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4CE9"/>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27E"/>
    <w:rsid w:val="00B21F36"/>
    <w:rsid w:val="00B3338E"/>
    <w:rsid w:val="00B34EF1"/>
    <w:rsid w:val="00B3625A"/>
    <w:rsid w:val="00B41E33"/>
    <w:rsid w:val="00B42350"/>
    <w:rsid w:val="00B44B81"/>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1F7A"/>
    <w:rsid w:val="00BD2ADE"/>
    <w:rsid w:val="00BD3B5C"/>
    <w:rsid w:val="00BD5455"/>
    <w:rsid w:val="00BD6A46"/>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0.61.42.188/kaz/docs/V2100024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3.123/kaz/docs/V170001493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3</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779</cp:revision>
  <cp:lastPrinted>2025-02-28T05:51:00Z</cp:lastPrinted>
  <dcterms:created xsi:type="dcterms:W3CDTF">2019-05-27T07:51:00Z</dcterms:created>
  <dcterms:modified xsi:type="dcterms:W3CDTF">2025-04-14T10:54:00Z</dcterms:modified>
</cp:coreProperties>
</file>