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37" w:rsidRPr="006C04CF" w:rsidRDefault="00011637" w:rsidP="0001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11637" w:rsidRPr="006C04CF" w:rsidRDefault="00011637" w:rsidP="0001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637" w:rsidRPr="006C04CF" w:rsidRDefault="00011637" w:rsidP="00011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11637" w:rsidRPr="006C04CF" w:rsidRDefault="00011637" w:rsidP="00011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г. Шымкент</w:t>
      </w:r>
      <w:r w:rsidRPr="006C04CF">
        <w:rPr>
          <w:rFonts w:ascii="Times New Roman" w:hAnsi="Times New Roman" w:cs="Times New Roman"/>
          <w:b/>
          <w:sz w:val="28"/>
          <w:szCs w:val="28"/>
        </w:rPr>
        <w:tab/>
      </w:r>
      <w:r w:rsidRPr="006C04CF">
        <w:rPr>
          <w:rFonts w:ascii="Times New Roman" w:hAnsi="Times New Roman" w:cs="Times New Roman"/>
          <w:b/>
          <w:sz w:val="28"/>
          <w:szCs w:val="28"/>
        </w:rPr>
        <w:tab/>
      </w:r>
      <w:r w:rsidRPr="006C04CF">
        <w:rPr>
          <w:rFonts w:ascii="Times New Roman" w:hAnsi="Times New Roman" w:cs="Times New Roman"/>
          <w:b/>
          <w:sz w:val="28"/>
          <w:szCs w:val="28"/>
        </w:rPr>
        <w:tab/>
      </w:r>
      <w:r w:rsidRPr="006C04CF">
        <w:rPr>
          <w:rFonts w:ascii="Times New Roman" w:hAnsi="Times New Roman" w:cs="Times New Roman"/>
          <w:b/>
          <w:sz w:val="28"/>
          <w:szCs w:val="28"/>
        </w:rPr>
        <w:tab/>
      </w:r>
      <w:r w:rsidRPr="006C04CF">
        <w:rPr>
          <w:rFonts w:ascii="Times New Roman" w:hAnsi="Times New Roman" w:cs="Times New Roman"/>
          <w:b/>
          <w:sz w:val="28"/>
          <w:szCs w:val="28"/>
        </w:rPr>
        <w:tab/>
      </w:r>
      <w:r w:rsidRPr="006C04C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C04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6C04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6C04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C0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04C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C04CF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6C04C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C04CF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Pr="006C04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C04C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33F1F" w:rsidRPr="006C04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3F1F" w:rsidRPr="006C04C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33F1F" w:rsidRPr="006C04CF" w:rsidRDefault="00933F1F" w:rsidP="00011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F1F" w:rsidRPr="006C04CF" w:rsidRDefault="00933F1F" w:rsidP="00011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637" w:rsidRPr="006C04CF" w:rsidRDefault="00011637" w:rsidP="0001163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ВВОДНАЯ ЧАСТЬ</w:t>
      </w:r>
    </w:p>
    <w:p w:rsidR="00011637" w:rsidRPr="006C04CF" w:rsidRDefault="00011637" w:rsidP="0001163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637" w:rsidRPr="006C04CF" w:rsidRDefault="00011637" w:rsidP="0001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 исполнение приказа руководителя Департамента государственных доходов по г.Шымкент </w:t>
      </w:r>
      <w:r w:rsidRPr="006C04CF"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  <w:t xml:space="preserve">(далее - Департамент) 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от 02.05.2023 года №202 «О проведении внутреннего анализа коррупционных рисков» в Департаменте проведен внутренний анализ коррупционных рисков в </w:t>
      </w:r>
      <w:r w:rsidRPr="006C04CF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деятельности и 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правовых актах, затрагивающих деятельность подразделений налогового и таможенного администрирования.</w:t>
      </w:r>
    </w:p>
    <w:p w:rsidR="00011637" w:rsidRPr="006C04CF" w:rsidRDefault="00011637" w:rsidP="0001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Аналитическая справка составлена по выявленным коррупционным рискам, согласованным с профильными подразделениями Комитета государственных доходов МФ РК. Срок проведения 02</w:t>
      </w:r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.05.2023г. – 14.06.2023г.</w:t>
      </w:r>
    </w:p>
    <w:p w:rsidR="00011637" w:rsidRPr="006C04CF" w:rsidRDefault="00011637" w:rsidP="0001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Руководитель Департамента –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Б.Карымсаков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руководитель рабочей группы - заместитель руководителя Департамента Е.Турысов </w:t>
      </w:r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(отпуск)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 члены рабочей группы:</w:t>
      </w:r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Б.Ескараев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Т.Турганбаев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А.Зеев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Ж.Акаев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А.Сейд</w:t>
      </w:r>
      <w:proofErr w:type="spellEnd"/>
      <w:r w:rsidR="008C2650"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е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газиев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Н.Амиралиев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(отпуск),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А.Толен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Д.Туреханов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Ж.Бейсенбаева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К.Панбаев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У.Ахметов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Б.Ашенов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С.Темиралиев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Е.Сейтжан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Б.Омартаев</w:t>
      </w:r>
      <w:proofErr w:type="spellEnd"/>
      <w:r w:rsidRPr="006C04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11637" w:rsidRPr="006C04CF" w:rsidRDefault="00011637" w:rsidP="0001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11637" w:rsidRPr="006C04CF" w:rsidRDefault="00011637" w:rsidP="00011637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637" w:rsidRPr="006C04CF" w:rsidRDefault="00011637" w:rsidP="0001163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011637" w:rsidRPr="006C04CF" w:rsidRDefault="00011637" w:rsidP="00011637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637" w:rsidRPr="006C04CF" w:rsidRDefault="00011637" w:rsidP="000116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="002D406E" w:rsidRPr="006C04CF">
        <w:rPr>
          <w:rFonts w:ascii="Times New Roman" w:hAnsi="Times New Roman" w:cs="Times New Roman"/>
          <w:b/>
          <w:sz w:val="28"/>
          <w:szCs w:val="28"/>
        </w:rPr>
        <w:t>.</w:t>
      </w:r>
    </w:p>
    <w:p w:rsidR="00011637" w:rsidRPr="006C04CF" w:rsidRDefault="00011637" w:rsidP="00011637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 xml:space="preserve">По вопросам управления персоналом в период проведения внутреннего анализа рисков в деятельности Департамента коррупционные риски не </w:t>
      </w:r>
      <w:r w:rsidR="002D406E" w:rsidRPr="006C04CF">
        <w:rPr>
          <w:rFonts w:ascii="Times New Roman" w:hAnsi="Times New Roman" w:cs="Times New Roman"/>
          <w:sz w:val="28"/>
          <w:szCs w:val="28"/>
        </w:rPr>
        <w:t>рассматривались.</w:t>
      </w:r>
    </w:p>
    <w:p w:rsidR="00011637" w:rsidRPr="006C04CF" w:rsidRDefault="00011637" w:rsidP="00011637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  <w:r w:rsidR="002D406E" w:rsidRPr="006C04CF">
        <w:rPr>
          <w:rFonts w:ascii="Times New Roman" w:hAnsi="Times New Roman" w:cs="Times New Roman"/>
          <w:b/>
          <w:sz w:val="28"/>
          <w:szCs w:val="28"/>
        </w:rPr>
        <w:t>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 xml:space="preserve">По вопросам урегулирования конфликта интересов в период проведения внутреннего анализа рисков в деятельности Департамента коррупционные риски не </w:t>
      </w:r>
      <w:r w:rsidR="002D406E" w:rsidRPr="006C04CF">
        <w:rPr>
          <w:rFonts w:ascii="Times New Roman" w:hAnsi="Times New Roman" w:cs="Times New Roman"/>
          <w:sz w:val="28"/>
          <w:szCs w:val="28"/>
        </w:rPr>
        <w:t>рассматривались.</w:t>
      </w:r>
    </w:p>
    <w:p w:rsidR="00011637" w:rsidRPr="006C04CF" w:rsidRDefault="00011637" w:rsidP="000116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Оказание государственных услуг</w:t>
      </w:r>
      <w:r w:rsidR="002D406E" w:rsidRPr="006C04CF">
        <w:rPr>
          <w:rFonts w:ascii="Times New Roman" w:hAnsi="Times New Roman" w:cs="Times New Roman"/>
          <w:b/>
          <w:sz w:val="28"/>
          <w:szCs w:val="28"/>
        </w:rPr>
        <w:t>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оказания государственных услуг</w:t>
      </w:r>
      <w:r w:rsidRPr="006C04CF">
        <w:rPr>
          <w:rFonts w:ascii="Times New Roman" w:hAnsi="Times New Roman" w:cs="Times New Roman"/>
          <w:sz w:val="28"/>
          <w:szCs w:val="28"/>
        </w:rPr>
        <w:t xml:space="preserve"> в период проведения внутреннего анализа рисков в деятельности Департамента </w:t>
      </w:r>
      <w:r w:rsidR="002D406E" w:rsidRPr="006C04CF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6C04CF">
        <w:rPr>
          <w:rFonts w:ascii="Times New Roman" w:hAnsi="Times New Roman" w:cs="Times New Roman"/>
          <w:sz w:val="28"/>
          <w:szCs w:val="28"/>
        </w:rPr>
        <w:t>коррупционные риски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="002D406E" w:rsidRPr="006C04CF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согласован</w:t>
      </w:r>
      <w:r w:rsidR="002D406E" w:rsidRPr="006C04CF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с профильными подразделениями КГД МФ РК</w:t>
      </w:r>
      <w:r w:rsidRPr="006C04CF">
        <w:rPr>
          <w:rFonts w:ascii="Times New Roman" w:hAnsi="Times New Roman" w:cs="Times New Roman"/>
          <w:sz w:val="28"/>
          <w:szCs w:val="28"/>
        </w:rPr>
        <w:t>.</w:t>
      </w:r>
    </w:p>
    <w:p w:rsidR="00011637" w:rsidRPr="006C04CF" w:rsidRDefault="00011637" w:rsidP="000116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Реализация разрешительных функций</w:t>
      </w:r>
      <w:r w:rsidR="002D406E" w:rsidRPr="006C04CF">
        <w:rPr>
          <w:rFonts w:ascii="Times New Roman" w:hAnsi="Times New Roman" w:cs="Times New Roman"/>
          <w:b/>
          <w:sz w:val="28"/>
          <w:szCs w:val="28"/>
        </w:rPr>
        <w:t>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>По вопросам реализации разрешительных функций в период проведения внутреннего анализа рисков в деятельности Департамента коррупционные риски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согласованные с профильными подразделениями КГД МФ РК </w:t>
      </w:r>
      <w:r w:rsidRPr="006C04CF">
        <w:rPr>
          <w:rFonts w:ascii="Times New Roman" w:hAnsi="Times New Roman" w:cs="Times New Roman"/>
          <w:sz w:val="28"/>
          <w:szCs w:val="28"/>
        </w:rPr>
        <w:t xml:space="preserve">не </w:t>
      </w:r>
      <w:r w:rsidR="002D406E" w:rsidRPr="006C04CF">
        <w:rPr>
          <w:rFonts w:ascii="Times New Roman" w:hAnsi="Times New Roman" w:cs="Times New Roman"/>
          <w:sz w:val="28"/>
          <w:szCs w:val="28"/>
        </w:rPr>
        <w:t>рассматривались</w:t>
      </w:r>
      <w:r w:rsidRPr="006C04CF">
        <w:rPr>
          <w:rFonts w:ascii="Times New Roman" w:hAnsi="Times New Roman" w:cs="Times New Roman"/>
          <w:sz w:val="28"/>
          <w:szCs w:val="28"/>
        </w:rPr>
        <w:t>.</w:t>
      </w:r>
    </w:p>
    <w:p w:rsidR="00011637" w:rsidRPr="006C04CF" w:rsidRDefault="00011637" w:rsidP="000116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Реализация контрольных функций</w:t>
      </w:r>
      <w:r w:rsidR="002D406E" w:rsidRPr="006C04CF">
        <w:rPr>
          <w:rFonts w:ascii="Times New Roman" w:hAnsi="Times New Roman" w:cs="Times New Roman"/>
          <w:b/>
          <w:sz w:val="28"/>
          <w:szCs w:val="28"/>
        </w:rPr>
        <w:t>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5.1</w:t>
      </w:r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Pr="006C04CF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</w:t>
      </w:r>
      <w:r w:rsidRPr="006C04C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C04CF">
        <w:rPr>
          <w:rFonts w:ascii="Times New Roman" w:hAnsi="Times New Roman"/>
          <w:sz w:val="28"/>
          <w:szCs w:val="28"/>
          <w:u w:val="single"/>
        </w:rPr>
        <w:t>Коррупционный риск</w:t>
      </w:r>
      <w:r w:rsidRPr="006C04CF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6C04CF">
        <w:rPr>
          <w:rFonts w:ascii="Times New Roman" w:hAnsi="Times New Roman"/>
          <w:sz w:val="28"/>
          <w:szCs w:val="28"/>
          <w:u w:val="single"/>
        </w:rPr>
        <w:lastRenderedPageBreak/>
        <w:t xml:space="preserve">затягивания сроков </w:t>
      </w:r>
      <w:r w:rsidR="009370A1" w:rsidRPr="006C04CF">
        <w:rPr>
          <w:rFonts w:ascii="Times New Roman" w:hAnsi="Times New Roman"/>
          <w:sz w:val="28"/>
          <w:szCs w:val="28"/>
          <w:u w:val="single"/>
          <w:lang w:val="kk-KZ"/>
        </w:rPr>
        <w:t xml:space="preserve">проведения </w:t>
      </w:r>
      <w:r w:rsidRPr="006C04CF">
        <w:rPr>
          <w:rFonts w:ascii="Times New Roman" w:hAnsi="Times New Roman"/>
          <w:sz w:val="28"/>
          <w:szCs w:val="28"/>
          <w:u w:val="single"/>
        </w:rPr>
        <w:t>налоговой проверки, что может привести к истечению сроков давности по начислению суммы налогов и соответственно потере бюджета</w:t>
      </w:r>
      <w:r w:rsidRPr="006C04CF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011637" w:rsidRPr="006C04CF" w:rsidRDefault="00011637" w:rsidP="00011637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04CF">
        <w:rPr>
          <w:rFonts w:ascii="Times New Roman" w:hAnsi="Times New Roman"/>
          <w:sz w:val="28"/>
          <w:szCs w:val="28"/>
        </w:rPr>
        <w:t xml:space="preserve">Согласно п.4 ст.146 Налогового кодекса Республики Казахстан предусмотрено, что течение срока проведения налоговой проверки может приостанавливаться налоговыми органами на период вручения налогоплательщику (налоговому агенту) требования налогового органа о представлении сведений и (или) документов и представления налогоплательщиком (налоговым агентом) запрашиваемых при проведении налоговой проверки сведений и (или) документов. 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 xml:space="preserve">При этом, количество и кратность вручения требований </w:t>
      </w:r>
      <w:r w:rsidRPr="006C04CF">
        <w:rPr>
          <w:rFonts w:ascii="Times New Roman" w:hAnsi="Times New Roman"/>
          <w:sz w:val="28"/>
          <w:szCs w:val="28"/>
        </w:rPr>
        <w:t>о представлении сведений и (или) документов</w:t>
      </w:r>
      <w:r w:rsidRPr="006C04CF">
        <w:rPr>
          <w:rFonts w:ascii="Times New Roman" w:hAnsi="Times New Roman"/>
          <w:sz w:val="28"/>
          <w:szCs w:val="28"/>
          <w:lang w:val="kk-KZ"/>
        </w:rPr>
        <w:t xml:space="preserve"> не ограничено, так как законом не регламентировано.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04CF">
        <w:rPr>
          <w:rFonts w:ascii="Times New Roman" w:hAnsi="Times New Roman"/>
          <w:sz w:val="28"/>
          <w:szCs w:val="28"/>
        </w:rPr>
        <w:t xml:space="preserve">Действия должностных лиц при частичном исполнении требований налогоплательщиком </w:t>
      </w:r>
      <w:r w:rsidRPr="006C04CF">
        <w:rPr>
          <w:rFonts w:ascii="Times New Roman" w:hAnsi="Times New Roman"/>
          <w:sz w:val="28"/>
          <w:szCs w:val="28"/>
          <w:lang w:val="kk-KZ"/>
        </w:rPr>
        <w:t xml:space="preserve">также </w:t>
      </w:r>
      <w:r w:rsidRPr="006C04CF">
        <w:rPr>
          <w:rFonts w:ascii="Times New Roman" w:hAnsi="Times New Roman"/>
          <w:sz w:val="28"/>
          <w:szCs w:val="28"/>
        </w:rPr>
        <w:t>не регламентированы.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>Данное обстоятельство позволяет должностным лицам налогового органа, осуществляющего проверку систематически запрашивать одни и те же сведения либо повторно запрашивать аналогичные сведения  при непредставлении их налогоплательщиком.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 xml:space="preserve">Тем самым, ссылаясь на запрос сведений и документов </w:t>
      </w:r>
      <w:r w:rsidRPr="006C04CF">
        <w:rPr>
          <w:rFonts w:ascii="Times New Roman" w:hAnsi="Times New Roman"/>
          <w:i/>
          <w:sz w:val="24"/>
          <w:szCs w:val="24"/>
          <w:lang w:val="kk-KZ"/>
        </w:rPr>
        <w:t xml:space="preserve">(на период которого налоговая проверка приоставливается) </w:t>
      </w:r>
      <w:r w:rsidRPr="006C04CF">
        <w:rPr>
          <w:rFonts w:ascii="Times New Roman" w:hAnsi="Times New Roman"/>
          <w:sz w:val="28"/>
          <w:szCs w:val="28"/>
          <w:lang w:val="kk-KZ"/>
        </w:rPr>
        <w:t>затягиваются сроки завершения налоговых проверок.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>Между тем, в период начала и завершения налоговой проверки сроки исковой давности согласно п.10 ст.48 Налогового кодекса не приостанавливаются.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>Таким образом, имеются коррупционные риски, когда проверяющее лицо по предварительному сговору с проверяемым лицом</w:t>
      </w:r>
      <w:r w:rsidRPr="006C04CF">
        <w:rPr>
          <w:rFonts w:ascii="Times New Roman" w:hAnsi="Times New Roman"/>
          <w:sz w:val="28"/>
          <w:szCs w:val="28"/>
        </w:rPr>
        <w:t xml:space="preserve">, имеет возможность допустить факты частичного исполнения требования </w:t>
      </w:r>
      <w:r w:rsidRPr="006C04CF">
        <w:rPr>
          <w:rFonts w:ascii="Times New Roman" w:hAnsi="Times New Roman"/>
          <w:i/>
          <w:sz w:val="28"/>
          <w:szCs w:val="28"/>
        </w:rPr>
        <w:t xml:space="preserve">(не полного предоставлении запрашиваемых сведений), с последующим выставлением новых требований (где вновь запрашиваются данные сведения </w:t>
      </w:r>
      <w:proofErr w:type="spellStart"/>
      <w:r w:rsidRPr="006C04CF">
        <w:rPr>
          <w:rFonts w:ascii="Times New Roman" w:hAnsi="Times New Roman"/>
          <w:i/>
          <w:sz w:val="28"/>
          <w:szCs w:val="28"/>
        </w:rPr>
        <w:t>и.т.д</w:t>
      </w:r>
      <w:proofErr w:type="spellEnd"/>
      <w:r w:rsidRPr="006C04CF">
        <w:rPr>
          <w:rFonts w:ascii="Times New Roman" w:hAnsi="Times New Roman"/>
          <w:i/>
          <w:sz w:val="28"/>
          <w:szCs w:val="28"/>
        </w:rPr>
        <w:t>.)</w:t>
      </w:r>
      <w:r w:rsidRPr="006C04CF">
        <w:rPr>
          <w:rFonts w:ascii="Times New Roman" w:hAnsi="Times New Roman"/>
          <w:sz w:val="28"/>
          <w:szCs w:val="28"/>
        </w:rPr>
        <w:t xml:space="preserve"> количество которых не ограничено.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</w:rPr>
        <w:t xml:space="preserve">Данная возможная схема взаимоотношений между налогоплательщиком и проверяющим лицом нацелена на </w:t>
      </w:r>
      <w:r w:rsidRPr="006C04CF">
        <w:rPr>
          <w:rFonts w:ascii="Times New Roman" w:hAnsi="Times New Roman"/>
          <w:sz w:val="28"/>
          <w:szCs w:val="28"/>
          <w:lang w:val="kk-KZ"/>
        </w:rPr>
        <w:t>искусственное затягивание сроков налоговой проверки, с расчетом на истечение сроков исковой давности с учетом налоговых периодов (что влияет на сумму начисляемых налогов).</w:t>
      </w:r>
    </w:p>
    <w:p w:rsidR="00011637" w:rsidRPr="006C04CF" w:rsidRDefault="00011637" w:rsidP="00011637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коррупционных рисков и недопущения затягивания сроков налоговой проверки с последующим истечением сроков исковой давности по налогам, 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в целях исключения дискреционных полномочий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направить предложение в 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Комитет государственных доходов Министерства финансов Республики Казахстан о внесении в Методические рекомендации по налоговым проверкам следующих дополнений:</w:t>
      </w:r>
    </w:p>
    <w:p w:rsidR="00011637" w:rsidRPr="006C04CF" w:rsidRDefault="00011637" w:rsidP="000116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1) определить конкретный перечень документов и сведений, подлежащих запросу в рамках налоговой проверки.</w:t>
      </w:r>
    </w:p>
    <w:p w:rsidR="00011637" w:rsidRPr="006C04CF" w:rsidRDefault="00011637" w:rsidP="000116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lastRenderedPageBreak/>
        <w:t>2) определить условия и критерии для запрашивания тех или иных сведений и документов.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3) ограничить количество и кратность выставляемых требований </w:t>
      </w:r>
      <w:r w:rsidRPr="006C04CF">
        <w:rPr>
          <w:rFonts w:ascii="Times New Roman" w:eastAsia="Times New Roman" w:hAnsi="Times New Roman" w:cs="Times New Roman"/>
          <w:i/>
          <w:sz w:val="24"/>
          <w:szCs w:val="24"/>
          <w:lang w:val="kk-KZ" w:bidi="en-US"/>
        </w:rPr>
        <w:t>(запросов сведений и документов)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в рамках одной налоговой проверки </w:t>
      </w:r>
      <w:r w:rsidRPr="006C04CF">
        <w:rPr>
          <w:rFonts w:ascii="Times New Roman" w:eastAsia="Times New Roman" w:hAnsi="Times New Roman" w:cs="Times New Roman"/>
          <w:i/>
          <w:sz w:val="24"/>
          <w:szCs w:val="24"/>
          <w:lang w:val="kk-KZ" w:bidi="en-US"/>
        </w:rPr>
        <w:t>(во избежание необоснованных затягиваний сроков проверок).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6C04C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.2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Pr="006C04CF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</w:t>
      </w:r>
      <w:r w:rsidRPr="006C04C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C04CF">
        <w:rPr>
          <w:rFonts w:ascii="Times New Roman" w:hAnsi="Times New Roman"/>
          <w:sz w:val="28"/>
          <w:szCs w:val="28"/>
          <w:u w:val="single"/>
        </w:rPr>
        <w:t>Коррупционный риск</w:t>
      </w:r>
      <w:r w:rsidRPr="006C04CF">
        <w:rPr>
          <w:rFonts w:ascii="Times New Roman" w:hAnsi="Times New Roman"/>
          <w:sz w:val="28"/>
          <w:szCs w:val="28"/>
          <w:u w:val="single"/>
          <w:lang w:val="kk-KZ"/>
        </w:rPr>
        <w:t xml:space="preserve"> выпуска товаров, в отношении которых таможенный контроль не завершен»</w:t>
      </w:r>
    </w:p>
    <w:p w:rsidR="00011637" w:rsidRPr="006C04CF" w:rsidRDefault="00011637" w:rsidP="00011637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целях оптимизации процедуры таможенного контроля в </w:t>
      </w:r>
      <w:r w:rsidRPr="006C04CF">
        <w:rPr>
          <w:rFonts w:ascii="Times New Roman" w:hAnsi="Times New Roman" w:cs="Times New Roman"/>
          <w:sz w:val="28"/>
          <w:szCs w:val="28"/>
        </w:rPr>
        <w:t>ИС «АСТАНА-1»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предусмотрены этапы таможенного контроля в «зеленом», «желтом», «синем» и «красном» коридорах, где «зеленый» коридор предполагает автоматический выпуск товаров  без участия человеческого фактора. 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>В части остальных коридоров таможенный контроль осуществляется с участием должностных лиц таможенных органов.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Так, в зависимости от наименования и классификации оформляемого товара, возможны случаи когда одна и та же таможенная декларация (декларация на товары) в начале контроля системой направляется на «желтый» коридор </w:t>
      </w:r>
      <w:r w:rsidRPr="006C04CF">
        <w:rPr>
          <w:rFonts w:ascii="Times New Roman" w:hAnsi="Times New Roman" w:cs="Times New Roman"/>
          <w:i/>
          <w:sz w:val="24"/>
          <w:szCs w:val="24"/>
        </w:rPr>
        <w:t>(контроль таможенной стоимости)</w:t>
      </w:r>
      <w:r w:rsidRPr="006C04CF">
        <w:rPr>
          <w:rFonts w:ascii="Times New Roman" w:hAnsi="Times New Roman" w:cs="Times New Roman"/>
          <w:sz w:val="28"/>
          <w:szCs w:val="28"/>
        </w:rPr>
        <w:t xml:space="preserve">, а затем на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C04CF">
        <w:rPr>
          <w:rFonts w:ascii="Times New Roman" w:hAnsi="Times New Roman" w:cs="Times New Roman"/>
          <w:sz w:val="28"/>
          <w:szCs w:val="28"/>
        </w:rPr>
        <w:t>синий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C04CF">
        <w:rPr>
          <w:rFonts w:ascii="Times New Roman" w:hAnsi="Times New Roman" w:cs="Times New Roman"/>
          <w:sz w:val="28"/>
          <w:szCs w:val="28"/>
        </w:rPr>
        <w:t xml:space="preserve"> коридор </w:t>
      </w:r>
      <w:r w:rsidRPr="006C04CF">
        <w:rPr>
          <w:rFonts w:ascii="Times New Roman" w:hAnsi="Times New Roman" w:cs="Times New Roman"/>
          <w:i/>
          <w:sz w:val="24"/>
          <w:szCs w:val="24"/>
        </w:rPr>
        <w:t>(контроль условно выпущенных товаров).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 xml:space="preserve">При осуществлении контроля таможенной стоимости товаров участники ВЭД зачастую осуществляют обеспечение (депозит) таможенных платежей сроком не более 60 дней, для предоставления необходимых документов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C04CF">
        <w:rPr>
          <w:rFonts w:ascii="Times New Roman" w:hAnsi="Times New Roman" w:cs="Times New Roman"/>
          <w:sz w:val="28"/>
          <w:szCs w:val="28"/>
        </w:rPr>
        <w:t>о подтверждения таможенной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4CF">
        <w:rPr>
          <w:rFonts w:ascii="Times New Roman" w:hAnsi="Times New Roman" w:cs="Times New Roman"/>
          <w:sz w:val="28"/>
          <w:szCs w:val="28"/>
        </w:rPr>
        <w:t>стоимости товаров, в связи с чем д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C04CF">
        <w:rPr>
          <w:rFonts w:ascii="Times New Roman" w:hAnsi="Times New Roman" w:cs="Times New Roman"/>
          <w:sz w:val="28"/>
          <w:szCs w:val="28"/>
        </w:rPr>
        <w:t>кларация</w:t>
      </w:r>
      <w:proofErr w:type="spellEnd"/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4CF">
        <w:rPr>
          <w:rFonts w:ascii="Times New Roman" w:hAnsi="Times New Roman" w:cs="Times New Roman"/>
          <w:sz w:val="28"/>
          <w:szCs w:val="28"/>
        </w:rPr>
        <w:t xml:space="preserve">на товары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C04CF">
        <w:rPr>
          <w:rFonts w:ascii="Times New Roman" w:hAnsi="Times New Roman" w:cs="Times New Roman"/>
          <w:sz w:val="28"/>
          <w:szCs w:val="28"/>
        </w:rPr>
        <w:t xml:space="preserve"> информационной системе переводится на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C04CF">
        <w:rPr>
          <w:rFonts w:ascii="Times New Roman" w:hAnsi="Times New Roman" w:cs="Times New Roman"/>
          <w:sz w:val="28"/>
          <w:szCs w:val="28"/>
        </w:rPr>
        <w:t>синий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C04CF">
        <w:rPr>
          <w:rFonts w:ascii="Times New Roman" w:hAnsi="Times New Roman" w:cs="Times New Roman"/>
          <w:sz w:val="28"/>
          <w:szCs w:val="28"/>
        </w:rPr>
        <w:t xml:space="preserve"> коридор.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>После предоставления соответствующих документов сотрудники ЦЭД КГД МФ РК могут рассматривать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предоставленные документы и сведения </w:t>
      </w:r>
      <w:r w:rsidRPr="006C04CF">
        <w:rPr>
          <w:rFonts w:ascii="Times New Roman" w:hAnsi="Times New Roman" w:cs="Times New Roman"/>
          <w:sz w:val="28"/>
          <w:szCs w:val="28"/>
        </w:rPr>
        <w:t xml:space="preserve">еще 30 дней, что в общем, составляет 90 дней. 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Одновременно, таможенная декларация </w:t>
      </w:r>
      <w:r w:rsidRPr="006C04CF">
        <w:rPr>
          <w:rFonts w:ascii="Times New Roman" w:hAnsi="Times New Roman" w:cs="Times New Roman"/>
          <w:sz w:val="28"/>
          <w:szCs w:val="28"/>
        </w:rPr>
        <w:t xml:space="preserve"> может находиться также на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C04CF">
        <w:rPr>
          <w:rFonts w:ascii="Times New Roman" w:hAnsi="Times New Roman" w:cs="Times New Roman"/>
          <w:sz w:val="28"/>
          <w:szCs w:val="28"/>
        </w:rPr>
        <w:t>синем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C04CF">
        <w:rPr>
          <w:rFonts w:ascii="Times New Roman" w:hAnsi="Times New Roman" w:cs="Times New Roman"/>
          <w:sz w:val="28"/>
          <w:szCs w:val="28"/>
        </w:rPr>
        <w:t xml:space="preserve"> коридоре при условном выпуске товаров, где контроль осуществляется иными должностными лицами, а срок предоставления соответствующих документов составляет 60 дней.</w:t>
      </w:r>
    </w:p>
    <w:p w:rsidR="00011637" w:rsidRPr="006C04CF" w:rsidRDefault="00011637" w:rsidP="000116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При этом, согласно инструкциям к профилям рисков </w:t>
      </w:r>
      <w:r w:rsidRPr="006C04CF">
        <w:rPr>
          <w:rFonts w:ascii="Times New Roman" w:hAnsi="Times New Roman" w:cs="Times New Roman"/>
          <w:i/>
          <w:sz w:val="24"/>
          <w:szCs w:val="24"/>
          <w:lang w:val="kk-KZ"/>
        </w:rPr>
        <w:t>(к примеру №50100/060418/000093)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после предоставления необходимых документов и (или) сведений об оценке соответствия</w:t>
      </w:r>
      <w:r w:rsidRPr="006C04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должностное лицо, производящее таможенный контроль после  выпуска, не позднее 4 (четырех) рабочих дней с момента представления  документов и (или) сведений, снимает декларацию на  товары с контроля с применением функции «завершение  контроля ДТ с синего коридора» в ИС «АСТАНА-1».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>Таким образом, п</w:t>
      </w:r>
      <w:proofErr w:type="spellStart"/>
      <w:r w:rsidRPr="006C04CF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C04CF">
        <w:rPr>
          <w:rFonts w:ascii="Times New Roman" w:hAnsi="Times New Roman" w:cs="Times New Roman"/>
          <w:sz w:val="28"/>
          <w:szCs w:val="28"/>
        </w:rPr>
        <w:t xml:space="preserve"> исполнении мер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системы управления рисками (</w:t>
      </w:r>
      <w:r w:rsidRPr="006C04CF">
        <w:rPr>
          <w:rFonts w:ascii="Times New Roman" w:hAnsi="Times New Roman" w:cs="Times New Roman"/>
          <w:sz w:val="28"/>
          <w:szCs w:val="28"/>
        </w:rPr>
        <w:t>СУР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C04CF">
        <w:rPr>
          <w:rFonts w:ascii="Times New Roman" w:hAnsi="Times New Roman" w:cs="Times New Roman"/>
          <w:sz w:val="28"/>
          <w:szCs w:val="28"/>
        </w:rPr>
        <w:t xml:space="preserve"> возникает возможность очистки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декларации на товары</w:t>
      </w:r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без</w:t>
      </w:r>
      <w:r w:rsidRPr="006C04CF">
        <w:rPr>
          <w:rFonts w:ascii="Times New Roman" w:hAnsi="Times New Roman" w:cs="Times New Roman"/>
          <w:sz w:val="28"/>
          <w:szCs w:val="28"/>
        </w:rPr>
        <w:t xml:space="preserve"> завершения одного из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этапов </w:t>
      </w:r>
      <w:r w:rsidRPr="006C04CF">
        <w:rPr>
          <w:rFonts w:ascii="Times New Roman" w:hAnsi="Times New Roman" w:cs="Times New Roman"/>
          <w:sz w:val="28"/>
          <w:szCs w:val="28"/>
        </w:rPr>
        <w:t>контролей.</w:t>
      </w:r>
    </w:p>
    <w:p w:rsidR="00011637" w:rsidRPr="006C04CF" w:rsidRDefault="00011637" w:rsidP="00011637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>Например, если первым завершается контроль таможенной стоимости, возможна очистка ДТ, находящейся на контроле по условному выпуску до получения и предоставления разрешительных документов и та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C04CF">
        <w:rPr>
          <w:rFonts w:ascii="Times New Roman" w:hAnsi="Times New Roman" w:cs="Times New Roman"/>
          <w:sz w:val="28"/>
          <w:szCs w:val="28"/>
        </w:rPr>
        <w:t xml:space="preserve">же в обратном </w:t>
      </w:r>
      <w:r w:rsidRPr="006C04CF">
        <w:rPr>
          <w:rFonts w:ascii="Times New Roman" w:hAnsi="Times New Roman" w:cs="Times New Roman"/>
          <w:sz w:val="28"/>
          <w:szCs w:val="28"/>
        </w:rPr>
        <w:lastRenderedPageBreak/>
        <w:t>порядке, если первым завершается контроль условного выпуска, возможна очистка ДТ, находящейся на контроле таможенной стоимости.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Данное обстоятельство позволяет одному из должностных лиц,  осуществляющих контроль </w:t>
      </w:r>
      <w:r w:rsidRPr="006C04CF">
        <w:rPr>
          <w:rFonts w:ascii="Times New Roman" w:hAnsi="Times New Roman" w:cs="Times New Roman"/>
          <w:i/>
          <w:sz w:val="24"/>
          <w:szCs w:val="24"/>
          <w:lang w:val="kk-KZ"/>
        </w:rPr>
        <w:t>(за условно выпущенными товарами или таможенной стоимостью)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выпуск товаров без завершения таможенного контроля по второму направлению </w:t>
      </w:r>
      <w:r w:rsidRPr="006C04CF">
        <w:rPr>
          <w:rFonts w:ascii="Times New Roman" w:hAnsi="Times New Roman" w:cs="Times New Roman"/>
          <w:i/>
          <w:sz w:val="24"/>
          <w:szCs w:val="24"/>
          <w:lang w:val="kk-KZ"/>
        </w:rPr>
        <w:t>(коридору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), тем самым оказав пре</w:t>
      </w:r>
      <w:r w:rsidR="008A3148" w:rsidRPr="006C04C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принимателю незаконное предпочтение.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коррупционных рисков и недопущения выпуска товаров по одному из направлений контроля, без завершения контроля по второму направлению, рекомендуется направить предложение в 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- о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внесении изменений в соответствующий приказ МФ РК </w:t>
      </w:r>
      <w:r w:rsidRPr="006C04CF">
        <w:rPr>
          <w:rFonts w:ascii="Times New Roman" w:hAnsi="Times New Roman" w:cs="Times New Roman"/>
          <w:i/>
          <w:sz w:val="24"/>
          <w:szCs w:val="24"/>
          <w:lang w:val="kk-KZ"/>
        </w:rPr>
        <w:t>(№73 от 26.01.2018г.)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либо разработке алгоритма действий </w:t>
      </w:r>
      <w:r w:rsidRPr="006C04C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C04CF">
        <w:rPr>
          <w:rFonts w:ascii="Times New Roman" w:hAnsi="Times New Roman" w:cs="Times New Roman"/>
          <w:i/>
          <w:sz w:val="24"/>
          <w:szCs w:val="24"/>
        </w:rPr>
        <w:t>инструкци</w:t>
      </w:r>
      <w:proofErr w:type="spellEnd"/>
      <w:r w:rsidRPr="006C04CF">
        <w:rPr>
          <w:rFonts w:ascii="Times New Roman" w:hAnsi="Times New Roman" w:cs="Times New Roman"/>
          <w:i/>
          <w:sz w:val="24"/>
          <w:szCs w:val="24"/>
          <w:lang w:val="kk-KZ"/>
        </w:rPr>
        <w:t>и</w:t>
      </w:r>
      <w:r w:rsidRPr="006C04CF">
        <w:rPr>
          <w:rFonts w:ascii="Times New Roman" w:hAnsi="Times New Roman" w:cs="Times New Roman"/>
          <w:i/>
          <w:sz w:val="24"/>
          <w:szCs w:val="24"/>
        </w:rPr>
        <w:t>)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для должностных лиц, контролирующих таможенную стоимость и контроль за условно выпущенными товарами при завершении контроля по профилям риска в «синем» коридоре.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6C04C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.</w:t>
      </w:r>
      <w:r w:rsidRPr="006C04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Pr="006C04CF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</w:t>
      </w:r>
      <w:r w:rsidRPr="006C04C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C04CF">
        <w:rPr>
          <w:rFonts w:ascii="Times New Roman" w:hAnsi="Times New Roman"/>
          <w:sz w:val="28"/>
          <w:szCs w:val="28"/>
          <w:u w:val="single"/>
        </w:rPr>
        <w:t>Коррупционный риск</w:t>
      </w:r>
      <w:r w:rsidRPr="006C04CF">
        <w:rPr>
          <w:rFonts w:ascii="Times New Roman" w:hAnsi="Times New Roman"/>
          <w:sz w:val="28"/>
          <w:szCs w:val="28"/>
          <w:u w:val="single"/>
          <w:lang w:val="kk-KZ"/>
        </w:rPr>
        <w:t xml:space="preserve"> оказания налогоплательщику – должнику незаконного предпочтения, путем не своевременного направления решения об ограничении в распоряжении имуществом в уполномоченные органы для регистрации обременения прав на транспортные средства».</w:t>
      </w:r>
    </w:p>
    <w:p w:rsidR="00011637" w:rsidRPr="006C04CF" w:rsidRDefault="00011637" w:rsidP="00011637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 xml:space="preserve">В соотвествии с нормами п.6 ст.120 Налогового кодекса РК налоговый орган  не </w:t>
      </w:r>
      <w:r w:rsidRPr="006C04CF">
        <w:rPr>
          <w:rFonts w:ascii="Times New Roman" w:hAnsi="Times New Roman"/>
          <w:sz w:val="28"/>
          <w:szCs w:val="28"/>
        </w:rPr>
        <w:t xml:space="preserve"> позднее </w:t>
      </w:r>
      <w:r w:rsidRPr="006C04CF">
        <w:rPr>
          <w:rFonts w:ascii="Times New Roman" w:hAnsi="Times New Roman"/>
          <w:sz w:val="28"/>
          <w:szCs w:val="28"/>
          <w:lang w:val="kk-KZ"/>
        </w:rPr>
        <w:t>5 (</w:t>
      </w:r>
      <w:r w:rsidRPr="006C04CF">
        <w:rPr>
          <w:rFonts w:ascii="Times New Roman" w:hAnsi="Times New Roman"/>
          <w:sz w:val="28"/>
          <w:szCs w:val="28"/>
        </w:rPr>
        <w:t>пяти</w:t>
      </w:r>
      <w:r w:rsidRPr="006C04CF">
        <w:rPr>
          <w:rFonts w:ascii="Times New Roman" w:hAnsi="Times New Roman"/>
          <w:sz w:val="28"/>
          <w:szCs w:val="28"/>
          <w:lang w:val="kk-KZ"/>
        </w:rPr>
        <w:t>)</w:t>
      </w:r>
      <w:r w:rsidRPr="006C04CF">
        <w:rPr>
          <w:rFonts w:ascii="Times New Roman" w:hAnsi="Times New Roman"/>
          <w:sz w:val="28"/>
          <w:szCs w:val="28"/>
        </w:rPr>
        <w:t xml:space="preserve"> рабочих дней со дня вручения налогоплательщику решения об ограничении в распоряжении имуществом направляет копию такого решения в уполномоченные государственные органы для регистрации обременения прав на имущество, права на которое подлежат государственной регистрации</w:t>
      </w:r>
      <w:r w:rsidRPr="006C04CF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>При этом, в ИС «ИНИС РК» предуссмотрена техническая возможность  направления такого решения электронным способом только в филиалы НАО «Правительство для граждан», тогда как для регистрации обремений прав на движимое имущество (транспорт) и спец. технику необходимо также направлять решения в территориальные подразделения МВД, МСХ и Комитет промышленной безопастности.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>В связи с тем, что автоматическое направление решений в указанные уполномоченные органы технически не представляется возможным, данные решения направляются отдельными сопроводительными письмами.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C04CF">
        <w:rPr>
          <w:rFonts w:ascii="Times New Roman" w:hAnsi="Times New Roman"/>
          <w:sz w:val="28"/>
          <w:szCs w:val="28"/>
          <w:lang w:val="kk-KZ"/>
        </w:rPr>
        <w:t xml:space="preserve">Данное обстоятельство способствует возникновению коррупционных рисков в части несвоевременного направления решений (либо не направления) и соответственно не принятия мер по наложению обременений на движимое имущество и спецтехнику должников. 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4CF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011637" w:rsidRPr="006C04CF" w:rsidRDefault="00011637" w:rsidP="00011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C04CF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коррупционных рисков и недопущения фактов непринятия мер по наложению обременений на движимое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имущество должников рекомендуется направить предложение в </w:t>
      </w: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Комитет государственных доходов Министерства финансов Республики Казахстан </w:t>
      </w:r>
    </w:p>
    <w:p w:rsidR="00011637" w:rsidRPr="006C04CF" w:rsidRDefault="00011637" w:rsidP="0001163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внесении </w:t>
      </w:r>
      <w:r w:rsidRPr="006C04CF">
        <w:rPr>
          <w:rFonts w:ascii="Times New Roman" w:hAnsi="Times New Roman"/>
          <w:sz w:val="28"/>
          <w:szCs w:val="28"/>
          <w:lang w:val="kk-KZ"/>
        </w:rPr>
        <w:t>технических доработок в ИС «ИНИС РК» в функционал  «Контроль за отправкой  решений во внешние системы» в части направления  электронным способом «решений об ограничении в распоряжениии имущества налогоплательщиков» в территориальные подразделения МВД, МСХ и Комитет промышленной безопастности.</w:t>
      </w:r>
    </w:p>
    <w:p w:rsidR="00011637" w:rsidRPr="006C04CF" w:rsidRDefault="00011637" w:rsidP="0001163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Иные вопросы, вытекающие из организацио</w:t>
      </w:r>
      <w:r w:rsidR="002D406E" w:rsidRPr="006C04CF">
        <w:rPr>
          <w:rFonts w:ascii="Times New Roman" w:hAnsi="Times New Roman" w:cs="Times New Roman"/>
          <w:b/>
          <w:sz w:val="28"/>
          <w:szCs w:val="28"/>
        </w:rPr>
        <w:t>нно-управленческой деятельности.</w:t>
      </w:r>
    </w:p>
    <w:p w:rsidR="00011637" w:rsidRPr="006C04CF" w:rsidRDefault="00011637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>По иным вопросам, вытекающим из организационно-управленческой деятельности в период проведения внутреннего анализа рисков в деятельности Департамента коррупционные риски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Pr="006C04CF">
        <w:rPr>
          <w:rFonts w:ascii="Times New Roman" w:hAnsi="Times New Roman" w:cs="Times New Roman"/>
          <w:sz w:val="28"/>
          <w:szCs w:val="28"/>
          <w:lang w:val="kk-KZ"/>
        </w:rPr>
        <w:t xml:space="preserve">согласованные с профильными подразделениями КГД МФ РК </w:t>
      </w:r>
      <w:r w:rsidRPr="006C04CF">
        <w:rPr>
          <w:rFonts w:ascii="Times New Roman" w:hAnsi="Times New Roman" w:cs="Times New Roman"/>
          <w:sz w:val="28"/>
          <w:szCs w:val="28"/>
        </w:rPr>
        <w:t xml:space="preserve">не </w:t>
      </w:r>
      <w:r w:rsidR="002D406E" w:rsidRPr="006C04CF">
        <w:rPr>
          <w:rFonts w:ascii="Times New Roman" w:hAnsi="Times New Roman" w:cs="Times New Roman"/>
          <w:sz w:val="28"/>
          <w:szCs w:val="28"/>
        </w:rPr>
        <w:t>рассматривались</w:t>
      </w:r>
      <w:r w:rsidRPr="006C04CF">
        <w:rPr>
          <w:rFonts w:ascii="Times New Roman" w:hAnsi="Times New Roman" w:cs="Times New Roman"/>
          <w:sz w:val="28"/>
          <w:szCs w:val="28"/>
        </w:rPr>
        <w:t>.</w:t>
      </w:r>
    </w:p>
    <w:p w:rsidR="00011637" w:rsidRPr="006C04CF" w:rsidRDefault="002D406E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C04CF">
        <w:rPr>
          <w:rFonts w:ascii="Times New Roman" w:hAnsi="Times New Roman" w:cs="Times New Roman"/>
          <w:sz w:val="28"/>
          <w:szCs w:val="28"/>
        </w:rPr>
        <w:t xml:space="preserve"> согласно совместного приказа Д</w:t>
      </w:r>
      <w:r w:rsidR="00213315" w:rsidRPr="006C04CF">
        <w:rPr>
          <w:rFonts w:ascii="Times New Roman" w:hAnsi="Times New Roman" w:cs="Times New Roman"/>
          <w:sz w:val="28"/>
          <w:szCs w:val="28"/>
        </w:rPr>
        <w:t>епартамента государственных доходов</w:t>
      </w:r>
      <w:r w:rsidRPr="006C04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C04CF">
        <w:rPr>
          <w:rFonts w:ascii="Times New Roman" w:hAnsi="Times New Roman" w:cs="Times New Roman"/>
          <w:sz w:val="28"/>
          <w:szCs w:val="28"/>
        </w:rPr>
        <w:t>г.Шымкент</w:t>
      </w:r>
      <w:proofErr w:type="spellEnd"/>
      <w:r w:rsidRPr="006C04CF">
        <w:rPr>
          <w:rFonts w:ascii="Times New Roman" w:hAnsi="Times New Roman" w:cs="Times New Roman"/>
          <w:sz w:val="28"/>
          <w:szCs w:val="28"/>
        </w:rPr>
        <w:t xml:space="preserve"> и Департамента Агентства РК по противодействию коррупции по </w:t>
      </w:r>
      <w:proofErr w:type="spellStart"/>
      <w:r w:rsidRPr="006C04CF">
        <w:rPr>
          <w:rFonts w:ascii="Times New Roman" w:hAnsi="Times New Roman" w:cs="Times New Roman"/>
          <w:sz w:val="28"/>
          <w:szCs w:val="28"/>
        </w:rPr>
        <w:t>г.Шымкент</w:t>
      </w:r>
      <w:proofErr w:type="spellEnd"/>
      <w:r w:rsidRPr="006C04CF">
        <w:rPr>
          <w:rFonts w:ascii="Times New Roman" w:hAnsi="Times New Roman" w:cs="Times New Roman"/>
          <w:sz w:val="28"/>
          <w:szCs w:val="28"/>
        </w:rPr>
        <w:t xml:space="preserve"> </w:t>
      </w:r>
      <w:r w:rsidR="00213315" w:rsidRPr="006C04CF">
        <w:rPr>
          <w:rFonts w:ascii="Times New Roman" w:hAnsi="Times New Roman" w:cs="Times New Roman"/>
          <w:sz w:val="28"/>
          <w:szCs w:val="28"/>
        </w:rPr>
        <w:t xml:space="preserve">с 19.06.2023г. </w:t>
      </w:r>
      <w:r w:rsidRPr="006C04CF">
        <w:rPr>
          <w:rFonts w:ascii="Times New Roman" w:hAnsi="Times New Roman" w:cs="Times New Roman"/>
          <w:sz w:val="28"/>
          <w:szCs w:val="28"/>
        </w:rPr>
        <w:t>назначен внешний анализ коррупционных рис</w:t>
      </w:r>
      <w:r w:rsidR="00213315" w:rsidRPr="006C04CF">
        <w:rPr>
          <w:rFonts w:ascii="Times New Roman" w:hAnsi="Times New Roman" w:cs="Times New Roman"/>
          <w:sz w:val="28"/>
          <w:szCs w:val="28"/>
        </w:rPr>
        <w:t>ков в деятельности Департамента.</w:t>
      </w:r>
    </w:p>
    <w:p w:rsidR="002D406E" w:rsidRPr="006C04CF" w:rsidRDefault="002D406E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CF">
        <w:rPr>
          <w:rFonts w:ascii="Times New Roman" w:hAnsi="Times New Roman" w:cs="Times New Roman"/>
          <w:sz w:val="28"/>
          <w:szCs w:val="28"/>
        </w:rPr>
        <w:t>В связи с чем, дополнительные сведения о выявленных коррупционных рисках будут включены в аналитическую справку по итогам внешнего анализа коррупционных рисков.</w:t>
      </w:r>
    </w:p>
    <w:p w:rsidR="002D406E" w:rsidRPr="006C04CF" w:rsidRDefault="002D406E" w:rsidP="000116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637" w:rsidRPr="006C04CF" w:rsidRDefault="00011637" w:rsidP="000116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C04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Приложение: Карта рисков </w:t>
      </w:r>
    </w:p>
    <w:p w:rsidR="00011637" w:rsidRPr="006C04CF" w:rsidRDefault="00011637" w:rsidP="000116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637" w:rsidRPr="006C04CF" w:rsidRDefault="00011637" w:rsidP="00933F1F">
      <w:pPr>
        <w:pStyle w:val="a8"/>
        <w:pBdr>
          <w:bottom w:val="single" w:sz="4" w:space="31" w:color="FFFFFF"/>
        </w:pBdr>
        <w:ind w:left="567"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6C04CF">
        <w:rPr>
          <w:rFonts w:ascii="Times New Roman" w:hAnsi="Times New Roman"/>
          <w:b/>
          <w:sz w:val="28"/>
          <w:szCs w:val="28"/>
          <w:lang w:val="kk-KZ"/>
        </w:rPr>
        <w:t xml:space="preserve">Руководитель </w:t>
      </w:r>
    </w:p>
    <w:p w:rsidR="00011637" w:rsidRPr="006C04CF" w:rsidRDefault="00011637" w:rsidP="00933F1F">
      <w:pPr>
        <w:pStyle w:val="a8"/>
        <w:pBdr>
          <w:bottom w:val="single" w:sz="4" w:space="31" w:color="FFFFFF"/>
        </w:pBdr>
        <w:ind w:left="567"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6C04CF">
        <w:rPr>
          <w:rFonts w:ascii="Times New Roman" w:hAnsi="Times New Roman"/>
          <w:b/>
          <w:sz w:val="28"/>
          <w:szCs w:val="28"/>
          <w:lang w:val="kk-KZ"/>
        </w:rPr>
        <w:t>ДГД по г.Шымкент</w:t>
      </w:r>
      <w:r w:rsidRPr="006C04CF">
        <w:rPr>
          <w:rFonts w:ascii="Times New Roman" w:hAnsi="Times New Roman"/>
          <w:b/>
          <w:sz w:val="28"/>
          <w:szCs w:val="28"/>
          <w:lang w:val="kk-KZ"/>
        </w:rPr>
        <w:tab/>
      </w:r>
      <w:r w:rsidRPr="006C04CF">
        <w:rPr>
          <w:rFonts w:ascii="Times New Roman" w:hAnsi="Times New Roman"/>
          <w:b/>
          <w:sz w:val="28"/>
          <w:szCs w:val="28"/>
          <w:lang w:val="kk-KZ"/>
        </w:rPr>
        <w:tab/>
      </w:r>
      <w:r w:rsidRPr="006C04CF">
        <w:rPr>
          <w:rFonts w:ascii="Times New Roman" w:hAnsi="Times New Roman"/>
          <w:b/>
          <w:sz w:val="28"/>
          <w:szCs w:val="28"/>
          <w:lang w:val="kk-KZ"/>
        </w:rPr>
        <w:tab/>
      </w:r>
      <w:r w:rsidRPr="006C04CF">
        <w:rPr>
          <w:rFonts w:ascii="Times New Roman" w:hAnsi="Times New Roman"/>
          <w:b/>
          <w:sz w:val="28"/>
          <w:szCs w:val="28"/>
          <w:lang w:val="kk-KZ"/>
        </w:rPr>
        <w:tab/>
      </w:r>
      <w:r w:rsidRPr="006C04CF">
        <w:rPr>
          <w:rFonts w:ascii="Times New Roman" w:hAnsi="Times New Roman"/>
          <w:b/>
          <w:sz w:val="28"/>
          <w:szCs w:val="28"/>
          <w:lang w:val="kk-KZ"/>
        </w:rPr>
        <w:tab/>
        <w:t xml:space="preserve">  </w:t>
      </w:r>
      <w:r w:rsidRPr="006C04CF">
        <w:rPr>
          <w:rFonts w:ascii="Times New Roman" w:hAnsi="Times New Roman"/>
          <w:b/>
          <w:sz w:val="28"/>
          <w:szCs w:val="28"/>
          <w:lang w:val="kk-KZ"/>
        </w:rPr>
        <w:tab/>
        <w:t xml:space="preserve">  Б.Карымсаков</w:t>
      </w:r>
    </w:p>
    <w:p w:rsidR="00011637" w:rsidRPr="006C04CF" w:rsidRDefault="00011637" w:rsidP="00933F1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04CF">
        <w:rPr>
          <w:rFonts w:ascii="Times New Roman" w:eastAsia="Times New Roman" w:hAnsi="Times New Roman" w:cs="Times New Roman"/>
          <w:sz w:val="28"/>
          <w:szCs w:val="28"/>
          <w:lang w:val="kk-KZ"/>
        </w:rPr>
        <w:t>Члены рабочей группы:</w:t>
      </w:r>
    </w:p>
    <w:p w:rsidR="00011637" w:rsidRPr="006C04CF" w:rsidRDefault="00011637" w:rsidP="000116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2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459"/>
        <w:gridCol w:w="3402"/>
        <w:gridCol w:w="424"/>
      </w:tblGrid>
      <w:tr w:rsidR="006C04CF" w:rsidRPr="006C04CF" w:rsidTr="00933F1F">
        <w:trPr>
          <w:trHeight w:val="524"/>
        </w:trPr>
        <w:tc>
          <w:tcPr>
            <w:tcW w:w="534" w:type="dxa"/>
          </w:tcPr>
          <w:p w:rsidR="00011637" w:rsidRPr="006C04CF" w:rsidRDefault="00011637" w:rsidP="009C16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428" w:type="dxa"/>
          </w:tcPr>
          <w:p w:rsidR="00011637" w:rsidRPr="006C04CF" w:rsidRDefault="00011637" w:rsidP="009C169F">
            <w:pPr>
              <w:tabs>
                <w:tab w:val="left" w:pos="261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Б.Ескараев  </w:t>
            </w:r>
          </w:p>
        </w:tc>
        <w:tc>
          <w:tcPr>
            <w:tcW w:w="459" w:type="dxa"/>
          </w:tcPr>
          <w:p w:rsidR="00011637" w:rsidRPr="006C04CF" w:rsidRDefault="00011637" w:rsidP="009C169F">
            <w:pPr>
              <w:tabs>
                <w:tab w:val="left" w:pos="261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826" w:type="dxa"/>
            <w:gridSpan w:val="2"/>
          </w:tcPr>
          <w:p w:rsidR="00011637" w:rsidRPr="006C04CF" w:rsidRDefault="00011637" w:rsidP="008C2650">
            <w:pPr>
              <w:pStyle w:val="a3"/>
              <w:tabs>
                <w:tab w:val="left" w:pos="261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А.Сейд</w:t>
            </w:r>
            <w:r w:rsidR="008C2650"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газиев</w:t>
            </w:r>
          </w:p>
        </w:tc>
      </w:tr>
      <w:tr w:rsidR="006C04CF" w:rsidRPr="006C04CF" w:rsidTr="00933F1F">
        <w:trPr>
          <w:trHeight w:val="524"/>
        </w:trPr>
        <w:tc>
          <w:tcPr>
            <w:tcW w:w="534" w:type="dxa"/>
          </w:tcPr>
          <w:p w:rsidR="00011637" w:rsidRPr="006C04CF" w:rsidRDefault="00011637" w:rsidP="009C16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428" w:type="dxa"/>
          </w:tcPr>
          <w:p w:rsidR="00011637" w:rsidRPr="006C04CF" w:rsidRDefault="00011637" w:rsidP="009C169F">
            <w:pPr>
              <w:tabs>
                <w:tab w:val="left" w:pos="261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Т.Турганбаев  </w:t>
            </w:r>
          </w:p>
        </w:tc>
        <w:tc>
          <w:tcPr>
            <w:tcW w:w="459" w:type="dxa"/>
          </w:tcPr>
          <w:p w:rsidR="00011637" w:rsidRPr="006C04CF" w:rsidRDefault="00011637" w:rsidP="009C169F">
            <w:pPr>
              <w:tabs>
                <w:tab w:val="left" w:pos="261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826" w:type="dxa"/>
            <w:gridSpan w:val="2"/>
          </w:tcPr>
          <w:p w:rsidR="00011637" w:rsidRPr="006C04CF" w:rsidRDefault="00011637" w:rsidP="009C169F">
            <w:pPr>
              <w:pStyle w:val="a3"/>
              <w:tabs>
                <w:tab w:val="left" w:pos="261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А.Төлен</w:t>
            </w:r>
          </w:p>
        </w:tc>
      </w:tr>
      <w:tr w:rsidR="006C04CF" w:rsidRPr="006C04CF" w:rsidTr="00933F1F">
        <w:trPr>
          <w:trHeight w:val="524"/>
        </w:trPr>
        <w:tc>
          <w:tcPr>
            <w:tcW w:w="534" w:type="dxa"/>
          </w:tcPr>
          <w:p w:rsidR="00011637" w:rsidRPr="006C04CF" w:rsidRDefault="00011637" w:rsidP="009C16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428" w:type="dxa"/>
          </w:tcPr>
          <w:p w:rsidR="00011637" w:rsidRPr="006C04CF" w:rsidRDefault="00011637" w:rsidP="009C169F">
            <w:pPr>
              <w:pStyle w:val="a3"/>
              <w:tabs>
                <w:tab w:val="left" w:pos="261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А.Зеев </w:t>
            </w:r>
          </w:p>
        </w:tc>
        <w:tc>
          <w:tcPr>
            <w:tcW w:w="459" w:type="dxa"/>
          </w:tcPr>
          <w:p w:rsidR="00011637" w:rsidRPr="006C04CF" w:rsidRDefault="00011637" w:rsidP="009C169F">
            <w:pPr>
              <w:tabs>
                <w:tab w:val="left" w:pos="261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826" w:type="dxa"/>
            <w:gridSpan w:val="2"/>
          </w:tcPr>
          <w:p w:rsidR="00011637" w:rsidRPr="006C04CF" w:rsidRDefault="00011637" w:rsidP="009C169F">
            <w:pPr>
              <w:pStyle w:val="a3"/>
              <w:tabs>
                <w:tab w:val="left" w:pos="261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Ж.Бейсенбаева</w:t>
            </w:r>
          </w:p>
        </w:tc>
      </w:tr>
      <w:tr w:rsidR="00011637" w:rsidRPr="006C04CF" w:rsidTr="00933F1F">
        <w:trPr>
          <w:gridAfter w:val="1"/>
          <w:wAfter w:w="424" w:type="dxa"/>
          <w:trHeight w:val="524"/>
        </w:trPr>
        <w:tc>
          <w:tcPr>
            <w:tcW w:w="534" w:type="dxa"/>
          </w:tcPr>
          <w:p w:rsidR="00011637" w:rsidRPr="006C04CF" w:rsidRDefault="00011637" w:rsidP="009C16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428" w:type="dxa"/>
          </w:tcPr>
          <w:p w:rsidR="00011637" w:rsidRPr="006C04CF" w:rsidRDefault="00011637" w:rsidP="009C169F">
            <w:pPr>
              <w:tabs>
                <w:tab w:val="left" w:pos="261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Ж.Акаев</w:t>
            </w:r>
          </w:p>
        </w:tc>
        <w:tc>
          <w:tcPr>
            <w:tcW w:w="459" w:type="dxa"/>
          </w:tcPr>
          <w:p w:rsidR="00011637" w:rsidRPr="006C04CF" w:rsidRDefault="00011637" w:rsidP="009C169F">
            <w:pPr>
              <w:tabs>
                <w:tab w:val="left" w:pos="261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02" w:type="dxa"/>
          </w:tcPr>
          <w:p w:rsidR="00011637" w:rsidRPr="006C04CF" w:rsidRDefault="00011637" w:rsidP="009C169F">
            <w:pPr>
              <w:pStyle w:val="a3"/>
              <w:tabs>
                <w:tab w:val="left" w:pos="26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4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К.Панбаев</w:t>
            </w:r>
          </w:p>
        </w:tc>
      </w:tr>
    </w:tbl>
    <w:p w:rsidR="00A62561" w:rsidRPr="006C04CF" w:rsidRDefault="00A62561"/>
    <w:sectPr w:rsidR="00A62561" w:rsidRPr="006C04CF" w:rsidSect="00933F1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31F"/>
    <w:multiLevelType w:val="hybridMultilevel"/>
    <w:tmpl w:val="5B949542"/>
    <w:lvl w:ilvl="0" w:tplc="540E11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349329F"/>
    <w:multiLevelType w:val="multilevel"/>
    <w:tmpl w:val="A2C879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707" w:hanging="4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  <w:b/>
        <w:color w:val="auto"/>
        <w:u w:val="none"/>
      </w:rPr>
    </w:lvl>
  </w:abstractNum>
  <w:abstractNum w:abstractNumId="2" w15:restartNumberingAfterBreak="0">
    <w:nsid w:val="5F602D40"/>
    <w:multiLevelType w:val="hybridMultilevel"/>
    <w:tmpl w:val="A2C04D12"/>
    <w:lvl w:ilvl="0" w:tplc="1C5AE9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A"/>
    <w:rsid w:val="00011637"/>
    <w:rsid w:val="000453D6"/>
    <w:rsid w:val="000A422A"/>
    <w:rsid w:val="00213315"/>
    <w:rsid w:val="00221CCC"/>
    <w:rsid w:val="002D406E"/>
    <w:rsid w:val="006C04CF"/>
    <w:rsid w:val="008A3148"/>
    <w:rsid w:val="008C2650"/>
    <w:rsid w:val="00933F1F"/>
    <w:rsid w:val="009370A1"/>
    <w:rsid w:val="00A62561"/>
    <w:rsid w:val="00BA5F48"/>
    <w:rsid w:val="00D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61DC"/>
  <w15:chartTrackingRefBased/>
  <w15:docId w15:val="{A9483835-6969-4A8D-B728-AB84A04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11637"/>
    <w:pPr>
      <w:ind w:left="720"/>
      <w:contextualSpacing/>
    </w:pPr>
  </w:style>
  <w:style w:type="paragraph" w:styleId="a5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6"/>
    <w:uiPriority w:val="1"/>
    <w:qFormat/>
    <w:rsid w:val="0001163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5"/>
    <w:uiPriority w:val="1"/>
    <w:qFormat/>
    <w:locked/>
    <w:rsid w:val="00011637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011637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011637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11637"/>
    <w:rPr>
      <w:rFonts w:ascii="Tahoma" w:eastAsia="Times New Roman" w:hAnsi="Tahom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D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t_tlenshin</cp:lastModifiedBy>
  <cp:revision>13</cp:revision>
  <cp:lastPrinted>2023-06-22T12:38:00Z</cp:lastPrinted>
  <dcterms:created xsi:type="dcterms:W3CDTF">2023-06-22T04:40:00Z</dcterms:created>
  <dcterms:modified xsi:type="dcterms:W3CDTF">2023-06-22T12:39:00Z</dcterms:modified>
</cp:coreProperties>
</file>