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A03C3D" w:rsidTr="00A03C3D">
        <w:tblPrEx>
          <w:tblCellMar>
            <w:top w:w="0" w:type="dxa"/>
            <w:bottom w:w="0" w:type="dxa"/>
          </w:tblCellMar>
        </w:tblPrEx>
        <w:tc>
          <w:tcPr>
            <w:tcW w:w="10137" w:type="dxa"/>
            <w:shd w:val="clear" w:color="auto" w:fill="auto"/>
          </w:tcPr>
          <w:p w:rsidR="00A03C3D" w:rsidRDefault="00A03C3D" w:rsidP="00173AD9">
            <w:pPr>
              <w:jc w:val="both"/>
              <w:rPr>
                <w:b w:val="0"/>
                <w:i w:val="0"/>
                <w:color w:val="0C0000"/>
                <w:sz w:val="24"/>
                <w:lang w:val="kk-KZ"/>
              </w:rPr>
            </w:pPr>
            <w:bookmarkStart w:id="0" w:name="_GoBack"/>
            <w:bookmarkEnd w:id="0"/>
            <w:r>
              <w:rPr>
                <w:b w:val="0"/>
                <w:i w:val="0"/>
                <w:color w:val="0C0000"/>
                <w:sz w:val="24"/>
                <w:lang w:val="kk-KZ"/>
              </w:rPr>
              <w:t>09.03.2022-ғы № МКБ-Е-04-19/1360 шығыс хаты</w:t>
            </w:r>
          </w:p>
          <w:p w:rsidR="00A03C3D" w:rsidRPr="00A03C3D" w:rsidRDefault="00A03C3D" w:rsidP="00173AD9">
            <w:pPr>
              <w:jc w:val="both"/>
              <w:rPr>
                <w:b w:val="0"/>
                <w:i w:val="0"/>
                <w:color w:val="0C0000"/>
                <w:sz w:val="24"/>
                <w:lang w:val="kk-KZ"/>
              </w:rPr>
            </w:pPr>
            <w:r>
              <w:rPr>
                <w:b w:val="0"/>
                <w:i w:val="0"/>
                <w:color w:val="0C0000"/>
                <w:sz w:val="24"/>
                <w:lang w:val="kk-KZ"/>
              </w:rPr>
              <w:t>09.03.2022-ғы № 4170 кіріс хаты</w:t>
            </w:r>
          </w:p>
        </w:tc>
      </w:tr>
    </w:tbl>
    <w:p w:rsidR="00173AD9" w:rsidRPr="00B53788" w:rsidRDefault="00173AD9"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w:t>
      </w:r>
      <w:r w:rsidR="00B378BE">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B941BB" w:rsidRDefault="00006874" w:rsidP="009B7283">
      <w:pPr>
        <w:widowControl/>
        <w:tabs>
          <w:tab w:val="left" w:pos="-1405"/>
          <w:tab w:val="left" w:pos="142"/>
          <w:tab w:val="left" w:pos="9554"/>
          <w:tab w:val="left" w:pos="9923"/>
        </w:tabs>
        <w:snapToGrid/>
        <w:ind w:left="-1405" w:right="36"/>
        <w:jc w:val="both"/>
        <w:outlineLvl w:val="0"/>
        <w:rPr>
          <w:b w:val="0"/>
          <w:i w:val="0"/>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9B7283" w:rsidRDefault="009B7283" w:rsidP="009B7283">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w:t>
      </w:r>
    </w:p>
    <w:p w:rsidR="009B7283" w:rsidRDefault="009B7283" w:rsidP="009B7283">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2" w:name="z536"/>
      <w:bookmarkEnd w:id="2"/>
      <w:r>
        <w:rPr>
          <w:b w:val="0"/>
          <w:i w:val="0"/>
          <w:sz w:val="24"/>
          <w:szCs w:val="24"/>
          <w:lang w:val="kk-KZ"/>
        </w:rPr>
        <w:t xml:space="preserve">; </w:t>
      </w:r>
    </w:p>
    <w:p w:rsidR="009B7283" w:rsidRPr="003D0B16" w:rsidRDefault="009B7283" w:rsidP="009B7283">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немесе жоғары оқу орнынан кейінгі болған жағдайда жұмыс тәжірибесі талап етілмейді. </w:t>
      </w:r>
      <w:bookmarkStart w:id="3" w:name="z537"/>
      <w:bookmarkEnd w:id="3"/>
      <w:r w:rsidRPr="003D0B16">
        <w:rPr>
          <w:b w:val="0"/>
          <w:i w:val="0"/>
          <w:sz w:val="24"/>
          <w:szCs w:val="24"/>
          <w:lang w:val="kk-KZ"/>
        </w:rPr>
        <w:t> </w:t>
      </w:r>
    </w:p>
    <w:p w:rsidR="009B7283" w:rsidRDefault="009B7283" w:rsidP="009B7283">
      <w:pPr>
        <w:widowControl/>
        <w:tabs>
          <w:tab w:val="left" w:pos="-1405"/>
          <w:tab w:val="left" w:pos="9554"/>
        </w:tabs>
        <w:snapToGrid/>
        <w:ind w:right="178"/>
        <w:outlineLvl w:val="0"/>
        <w:rPr>
          <w:i w:val="0"/>
          <w:iCs w:val="0"/>
          <w:sz w:val="24"/>
          <w:szCs w:val="24"/>
          <w:lang w:val="kk-KZ"/>
        </w:rPr>
      </w:pPr>
    </w:p>
    <w:p w:rsidR="009B7283" w:rsidRPr="003D0B16" w:rsidRDefault="009B7283" w:rsidP="009B7283">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9B7283" w:rsidRPr="003D0B16" w:rsidRDefault="009B7283" w:rsidP="009B7283">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9B7283" w:rsidRPr="003D0B16" w:rsidTr="007D5F0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B7283" w:rsidRPr="003D0B16" w:rsidTr="007D5F0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B7283" w:rsidRPr="001637C7" w:rsidTr="007D5F0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B7283" w:rsidRPr="003D0B16" w:rsidRDefault="009B7283" w:rsidP="007D5F0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9B7283" w:rsidRDefault="009B7283" w:rsidP="007D5F0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4575" w:type="dxa"/>
            <w:tcBorders>
              <w:top w:val="single" w:sz="4" w:space="0" w:color="auto"/>
              <w:left w:val="single" w:sz="4" w:space="0" w:color="auto"/>
              <w:bottom w:val="single" w:sz="4" w:space="0" w:color="auto"/>
              <w:right w:val="single" w:sz="4" w:space="0" w:color="auto"/>
            </w:tcBorders>
            <w:vAlign w:val="center"/>
          </w:tcPr>
          <w:p w:rsidR="009B7283" w:rsidRDefault="009B7283" w:rsidP="007D5F0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p>
        </w:tc>
      </w:tr>
    </w:tbl>
    <w:p w:rsidR="009B7283" w:rsidRPr="003D0B16" w:rsidRDefault="009B7283" w:rsidP="009B7283">
      <w:pPr>
        <w:ind w:right="178"/>
        <w:jc w:val="both"/>
        <w:rPr>
          <w:i w:val="0"/>
          <w:iCs w:val="0"/>
          <w:sz w:val="24"/>
          <w:szCs w:val="24"/>
          <w:highlight w:val="cyan"/>
          <w:lang w:val="kk-KZ"/>
        </w:rPr>
      </w:pPr>
    </w:p>
    <w:p w:rsidR="009B7283" w:rsidRDefault="009B7283" w:rsidP="009B7283">
      <w:pPr>
        <w:ind w:right="178"/>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лауазымдарына</w:t>
      </w:r>
      <w:r w:rsidRPr="00BB6B97">
        <w:rPr>
          <w:i w:val="0"/>
          <w:sz w:val="24"/>
          <w:szCs w:val="24"/>
          <w:lang w:val="kk-KZ"/>
        </w:rPr>
        <w:t xml:space="preserve"> орналасуға</w:t>
      </w:r>
      <w:r>
        <w:rPr>
          <w:i w:val="0"/>
          <w:sz w:val="24"/>
          <w:szCs w:val="24"/>
          <w:lang w:val="kk-KZ"/>
        </w:rPr>
        <w:t xml:space="preserve"> жалпы</w:t>
      </w:r>
      <w:r w:rsidRPr="00BB6B97">
        <w:rPr>
          <w:i w:val="0"/>
          <w:sz w:val="24"/>
          <w:szCs w:val="24"/>
          <w:lang w:val="kk-KZ"/>
        </w:rPr>
        <w:t xml:space="preserve"> конкурс жариялайды:</w:t>
      </w:r>
    </w:p>
    <w:p w:rsidR="009B7283" w:rsidRPr="000F44A1" w:rsidRDefault="009B7283" w:rsidP="009B7283">
      <w:pPr>
        <w:ind w:right="178"/>
        <w:jc w:val="both"/>
        <w:rPr>
          <w:i w:val="0"/>
          <w:sz w:val="24"/>
          <w:szCs w:val="24"/>
          <w:highlight w:val="cyan"/>
          <w:lang w:val="kk-KZ"/>
        </w:rPr>
      </w:pPr>
    </w:p>
    <w:p w:rsidR="009B7283" w:rsidRPr="00692548" w:rsidRDefault="009B7283" w:rsidP="009B7283">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салықтық әкімшілендіру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уақытша, негізгі қызметкердің бала күту демалысы мерзіміне 20.08.2022 жылға дейін </w:t>
      </w:r>
      <w:r w:rsidRPr="00692548">
        <w:rPr>
          <w:rFonts w:ascii="KZ Times New Roman" w:hAnsi="KZ Times New Roman" w:cs="Calibri"/>
          <w:i w:val="0"/>
          <w:sz w:val="24"/>
          <w:szCs w:val="24"/>
          <w:lang w:val="kk-KZ"/>
        </w:rPr>
        <w:t>(С-R-4 санаты)</w:t>
      </w:r>
      <w:r>
        <w:rPr>
          <w:rFonts w:ascii="KZ Times New Roman" w:hAnsi="KZ Times New Roman" w:cs="Calibri"/>
          <w:i w:val="0"/>
          <w:sz w:val="24"/>
          <w:szCs w:val="24"/>
          <w:lang w:val="kk-KZ"/>
        </w:rPr>
        <w:t>,</w:t>
      </w:r>
      <w:r w:rsidRPr="00692548">
        <w:rPr>
          <w:rFonts w:ascii="KZ Times New Roman" w:hAnsi="KZ Times New Roman" w:cs="Calibri"/>
          <w:i w:val="0"/>
          <w:sz w:val="24"/>
          <w:szCs w:val="24"/>
          <w:lang w:val="kk-KZ"/>
        </w:rPr>
        <w:t xml:space="preserve">  1 бірлік.</w:t>
      </w:r>
    </w:p>
    <w:p w:rsidR="009B7283" w:rsidRPr="007E4722" w:rsidRDefault="009B7283" w:rsidP="009B7283">
      <w:pPr>
        <w:ind w:right="178"/>
        <w:jc w:val="both"/>
        <w:rPr>
          <w:b w:val="0"/>
          <w:i w:val="0"/>
          <w:sz w:val="24"/>
          <w:szCs w:val="24"/>
          <w:lang w:val="be-BY"/>
        </w:rPr>
      </w:pPr>
      <w:r>
        <w:rPr>
          <w:i w:val="0"/>
          <w:sz w:val="24"/>
          <w:szCs w:val="24"/>
          <w:lang w:val="kk-KZ"/>
        </w:rPr>
        <w:t xml:space="preserve">Функционалды міндеттері: </w:t>
      </w:r>
      <w:r>
        <w:rPr>
          <w:b w:val="0"/>
          <w:i w:val="0"/>
          <w:sz w:val="24"/>
          <w:szCs w:val="24"/>
          <w:lang w:val="kk-KZ"/>
        </w:rPr>
        <w:t xml:space="preserve">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w:t>
      </w:r>
      <w:r w:rsidRPr="00692548">
        <w:rPr>
          <w:b w:val="0"/>
          <w:i w:val="0"/>
          <w:sz w:val="24"/>
          <w:szCs w:val="24"/>
          <w:lang w:val="kk-KZ"/>
        </w:rPr>
        <w:t>c</w:t>
      </w:r>
      <w:r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Pr>
          <w:b w:val="0"/>
          <w:i w:val="0"/>
          <w:sz w:val="24"/>
          <w:szCs w:val="24"/>
          <w:lang w:val="kk-KZ"/>
        </w:rPr>
        <w:t>, с</w:t>
      </w:r>
      <w:r w:rsidRPr="00692548">
        <w:rPr>
          <w:b w:val="0"/>
          <w:i w:val="0"/>
          <w:sz w:val="24"/>
          <w:szCs w:val="24"/>
          <w:lang w:val="be-BY"/>
        </w:rPr>
        <w:t>алық төлеушілерге уақытында хабарламаларды жолдау және табыстау</w:t>
      </w:r>
      <w:r>
        <w:rPr>
          <w:b w:val="0"/>
          <w:i w:val="0"/>
          <w:sz w:val="24"/>
          <w:szCs w:val="24"/>
          <w:lang w:val="be-BY"/>
        </w:rPr>
        <w:t xml:space="preserve">, </w:t>
      </w:r>
      <w:r w:rsidRPr="00692548">
        <w:rPr>
          <w:b w:val="0"/>
          <w:i w:val="0"/>
          <w:sz w:val="24"/>
          <w:szCs w:val="24"/>
          <w:lang w:val="be-BY"/>
        </w:rPr>
        <w:t>орындалмаған хабарламаларға уақытында әкімшілік шараларды қолдану.</w:t>
      </w:r>
    </w:p>
    <w:p w:rsidR="009B7283" w:rsidRDefault="009B7283" w:rsidP="009B7283">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9B7283" w:rsidRDefault="009B7283" w:rsidP="009B7283">
      <w:pPr>
        <w:ind w:right="178"/>
        <w:jc w:val="both"/>
        <w:rPr>
          <w:b w:val="0"/>
          <w:i w:val="0"/>
          <w:sz w:val="24"/>
          <w:szCs w:val="24"/>
          <w:lang w:val="kk-KZ"/>
        </w:rPr>
      </w:pPr>
    </w:p>
    <w:p w:rsidR="009B7283" w:rsidRPr="00692548" w:rsidRDefault="002E0F69" w:rsidP="009B7283">
      <w:pPr>
        <w:ind w:right="178"/>
        <w:jc w:val="both"/>
        <w:rPr>
          <w:rFonts w:ascii="KZ Times New Roman" w:hAnsi="KZ Times New Roman"/>
          <w:i w:val="0"/>
          <w:sz w:val="24"/>
          <w:szCs w:val="24"/>
          <w:lang w:val="kk-KZ"/>
        </w:rPr>
      </w:pPr>
      <w:r>
        <w:rPr>
          <w:i w:val="0"/>
          <w:sz w:val="24"/>
          <w:szCs w:val="24"/>
          <w:lang w:val="kk-KZ"/>
        </w:rPr>
        <w:t>2</w:t>
      </w:r>
      <w:r w:rsidR="009B7283" w:rsidRPr="003D0B16">
        <w:rPr>
          <w:i w:val="0"/>
          <w:sz w:val="24"/>
          <w:szCs w:val="24"/>
          <w:lang w:val="kk-KZ"/>
        </w:rPr>
        <w:t xml:space="preserve">. </w:t>
      </w:r>
      <w:r w:rsidR="009B7283">
        <w:rPr>
          <w:rFonts w:ascii="KZ Times New Roman" w:hAnsi="KZ Times New Roman"/>
          <w:i w:val="0"/>
          <w:sz w:val="24"/>
          <w:szCs w:val="24"/>
          <w:lang w:val="kk-KZ"/>
        </w:rPr>
        <w:t xml:space="preserve">Шымкент қаласы </w:t>
      </w:r>
      <w:r w:rsidR="009B7283" w:rsidRPr="00692548">
        <w:rPr>
          <w:rFonts w:ascii="KZ Times New Roman" w:hAnsi="KZ Times New Roman" w:cs="Calibri"/>
          <w:i w:val="0"/>
          <w:sz w:val="24"/>
          <w:szCs w:val="24"/>
          <w:lang w:val="kk-KZ"/>
        </w:rPr>
        <w:t xml:space="preserve">бойынша </w:t>
      </w:r>
      <w:r w:rsidR="009B7283" w:rsidRPr="00692548">
        <w:rPr>
          <w:rFonts w:ascii="KZ Times New Roman" w:hAnsi="KZ Times New Roman"/>
          <w:i w:val="0"/>
          <w:sz w:val="24"/>
          <w:szCs w:val="24"/>
          <w:lang w:val="kk-KZ"/>
        </w:rPr>
        <w:t>Мемлекеттік кірістер департаментіні</w:t>
      </w:r>
      <w:r w:rsidR="009B7283" w:rsidRPr="00692548">
        <w:rPr>
          <w:rFonts w:ascii="KZ Times New Roman" w:hAnsi="KZ Times New Roman" w:cs="Arial"/>
          <w:i w:val="0"/>
          <w:sz w:val="24"/>
          <w:szCs w:val="24"/>
          <w:lang w:val="kk-KZ"/>
        </w:rPr>
        <w:t>ң</w:t>
      </w:r>
      <w:r w:rsidR="009B7283" w:rsidRPr="00692548">
        <w:rPr>
          <w:rFonts w:ascii="KZ Times New Roman" w:hAnsi="KZ Times New Roman" w:cs="Calibri"/>
          <w:i w:val="0"/>
          <w:sz w:val="24"/>
          <w:szCs w:val="24"/>
          <w:lang w:val="kk-KZ"/>
        </w:rPr>
        <w:t xml:space="preserve"> Е</w:t>
      </w:r>
      <w:r w:rsidR="009B7283" w:rsidRPr="00692548">
        <w:rPr>
          <w:rFonts w:ascii="KZ Times New Roman" w:hAnsi="KZ Times New Roman" w:cs="Arial"/>
          <w:i w:val="0"/>
          <w:sz w:val="24"/>
          <w:szCs w:val="24"/>
          <w:lang w:val="kk-KZ"/>
        </w:rPr>
        <w:t>ң</w:t>
      </w:r>
      <w:r w:rsidR="009B7283" w:rsidRPr="00692548">
        <w:rPr>
          <w:rFonts w:ascii="KZ Times New Roman" w:hAnsi="KZ Times New Roman" w:cs="Calibri"/>
          <w:i w:val="0"/>
          <w:sz w:val="24"/>
          <w:szCs w:val="24"/>
          <w:lang w:val="kk-KZ"/>
        </w:rPr>
        <w:t xml:space="preserve">бекші ауданы бойынша Мемлекеттік </w:t>
      </w:r>
      <w:r w:rsidR="009B7283" w:rsidRPr="00692548">
        <w:rPr>
          <w:rFonts w:ascii="KZ Times New Roman" w:hAnsi="KZ Times New Roman"/>
          <w:i w:val="0"/>
          <w:sz w:val="24"/>
          <w:szCs w:val="24"/>
          <w:lang w:val="kk-KZ"/>
        </w:rPr>
        <w:t>кірістер бас</w:t>
      </w:r>
      <w:r w:rsidR="009B7283" w:rsidRPr="00692548">
        <w:rPr>
          <w:rFonts w:ascii="KZ Times New Roman" w:hAnsi="KZ Times New Roman" w:cs="Arial"/>
          <w:i w:val="0"/>
          <w:sz w:val="24"/>
          <w:szCs w:val="24"/>
          <w:lang w:val="kk-KZ"/>
        </w:rPr>
        <w:t>қ</w:t>
      </w:r>
      <w:r w:rsidR="009B7283" w:rsidRPr="00692548">
        <w:rPr>
          <w:rFonts w:ascii="KZ Times New Roman" w:hAnsi="KZ Times New Roman" w:cs="Calibri"/>
          <w:i w:val="0"/>
          <w:sz w:val="24"/>
          <w:szCs w:val="24"/>
          <w:lang w:val="kk-KZ"/>
        </w:rPr>
        <w:t>армасыны</w:t>
      </w:r>
      <w:r w:rsidR="009B7283" w:rsidRPr="00692548">
        <w:rPr>
          <w:rFonts w:ascii="KZ Times New Roman" w:hAnsi="KZ Times New Roman" w:cs="Arial"/>
          <w:i w:val="0"/>
          <w:sz w:val="24"/>
          <w:szCs w:val="24"/>
          <w:lang w:val="kk-KZ"/>
        </w:rPr>
        <w:t>ң</w:t>
      </w:r>
      <w:r w:rsidR="009B7283" w:rsidRPr="00692548">
        <w:rPr>
          <w:rFonts w:ascii="KZ Times New Roman" w:hAnsi="KZ Times New Roman" w:cs="Calibri"/>
          <w:i w:val="0"/>
          <w:sz w:val="24"/>
          <w:szCs w:val="24"/>
          <w:lang w:val="kk-KZ"/>
        </w:rPr>
        <w:t xml:space="preserve"> </w:t>
      </w:r>
      <w:r w:rsidR="009B7283">
        <w:rPr>
          <w:rFonts w:ascii="KZ Times New Roman" w:hAnsi="KZ Times New Roman" w:cs="Calibri"/>
          <w:i w:val="0"/>
          <w:sz w:val="24"/>
          <w:szCs w:val="24"/>
          <w:lang w:val="kk-KZ"/>
        </w:rPr>
        <w:t xml:space="preserve">өндірістік емес төлемдер </w:t>
      </w:r>
      <w:r w:rsidR="009B7283" w:rsidRPr="00692548">
        <w:rPr>
          <w:rFonts w:ascii="KZ Times New Roman" w:hAnsi="KZ Times New Roman"/>
          <w:i w:val="0"/>
          <w:sz w:val="24"/>
          <w:szCs w:val="24"/>
          <w:lang w:val="kk-KZ"/>
        </w:rPr>
        <w:t>б</w:t>
      </w:r>
      <w:r w:rsidR="009B7283" w:rsidRPr="00692548">
        <w:rPr>
          <w:rFonts w:ascii="KZ Times New Roman" w:hAnsi="KZ Times New Roman" w:cs="Arial"/>
          <w:i w:val="0"/>
          <w:sz w:val="24"/>
          <w:szCs w:val="24"/>
          <w:lang w:val="kk-KZ"/>
        </w:rPr>
        <w:t>ө</w:t>
      </w:r>
      <w:r w:rsidR="009B7283" w:rsidRPr="00692548">
        <w:rPr>
          <w:rFonts w:ascii="KZ Times New Roman" w:hAnsi="KZ Times New Roman" w:cs="Calibri"/>
          <w:i w:val="0"/>
          <w:sz w:val="24"/>
          <w:szCs w:val="24"/>
          <w:lang w:val="kk-KZ"/>
        </w:rPr>
        <w:t>ліміні</w:t>
      </w:r>
      <w:r w:rsidR="009B7283" w:rsidRPr="00692548">
        <w:rPr>
          <w:rFonts w:ascii="KZ Times New Roman" w:hAnsi="KZ Times New Roman" w:cs="Arial"/>
          <w:i w:val="0"/>
          <w:sz w:val="24"/>
          <w:szCs w:val="24"/>
          <w:lang w:val="kk-KZ"/>
        </w:rPr>
        <w:t>ң</w:t>
      </w:r>
      <w:r w:rsidR="009B7283">
        <w:rPr>
          <w:rFonts w:ascii="KZ Times New Roman" w:hAnsi="KZ Times New Roman" w:cs="Calibri"/>
          <w:i w:val="0"/>
          <w:sz w:val="24"/>
          <w:szCs w:val="24"/>
          <w:lang w:val="kk-KZ"/>
        </w:rPr>
        <w:t xml:space="preserve"> бас маманы, уақытша, негізгі қызметкердің бала күту демалысы </w:t>
      </w:r>
      <w:r w:rsidR="009B7283">
        <w:rPr>
          <w:rFonts w:ascii="KZ Times New Roman" w:hAnsi="KZ Times New Roman" w:cs="Calibri"/>
          <w:i w:val="0"/>
          <w:sz w:val="24"/>
          <w:szCs w:val="24"/>
          <w:lang w:val="kk-KZ"/>
        </w:rPr>
        <w:lastRenderedPageBreak/>
        <w:t xml:space="preserve">мерзіміне 01.10.2024 жылға дейін </w:t>
      </w:r>
      <w:r w:rsidR="009B7283" w:rsidRPr="00692548">
        <w:rPr>
          <w:rFonts w:ascii="KZ Times New Roman" w:hAnsi="KZ Times New Roman" w:cs="Calibri"/>
          <w:i w:val="0"/>
          <w:sz w:val="24"/>
          <w:szCs w:val="24"/>
          <w:lang w:val="kk-KZ"/>
        </w:rPr>
        <w:t>(С-R-4 санаты)</w:t>
      </w:r>
      <w:r w:rsidR="009B7283">
        <w:rPr>
          <w:rFonts w:ascii="KZ Times New Roman" w:hAnsi="KZ Times New Roman" w:cs="Calibri"/>
          <w:i w:val="0"/>
          <w:sz w:val="24"/>
          <w:szCs w:val="24"/>
          <w:lang w:val="kk-KZ"/>
        </w:rPr>
        <w:t>,</w:t>
      </w:r>
      <w:r w:rsidR="009B7283" w:rsidRPr="00692548">
        <w:rPr>
          <w:rFonts w:ascii="KZ Times New Roman" w:hAnsi="KZ Times New Roman" w:cs="Calibri"/>
          <w:i w:val="0"/>
          <w:sz w:val="24"/>
          <w:szCs w:val="24"/>
          <w:lang w:val="kk-KZ"/>
        </w:rPr>
        <w:t xml:space="preserve">  1 бірлік.</w:t>
      </w:r>
    </w:p>
    <w:p w:rsidR="009B7283" w:rsidRDefault="009B7283" w:rsidP="009B7283">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9B7283" w:rsidRDefault="009B7283" w:rsidP="009B7283">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6133F2" w:rsidRPr="00454B76" w:rsidRDefault="006133F2" w:rsidP="00024081">
      <w:pPr>
        <w:ind w:right="178"/>
        <w:jc w:val="both"/>
        <w:rPr>
          <w:b w:val="0"/>
          <w:i w:val="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4"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5" w:name="z432"/>
      <w:bookmarkEnd w:id="4"/>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6" w:name="z433"/>
      <w:bookmarkEnd w:id="5"/>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6"/>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342880" w:rsidRDefault="00C94B25" w:rsidP="00342880">
      <w:pPr>
        <w:widowControl/>
        <w:autoSpaceDE w:val="0"/>
        <w:autoSpaceDN w:val="0"/>
        <w:adjustRightInd w:val="0"/>
        <w:snapToGrid/>
        <w:jc w:val="both"/>
        <w:rPr>
          <w:b w:val="0"/>
          <w:i w:val="0"/>
          <w:sz w:val="24"/>
          <w:szCs w:val="24"/>
          <w:lang w:val="kk-KZ"/>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r w:rsidR="00342880">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r w:rsidR="00342880">
        <w:rPr>
          <w:b w:val="0"/>
          <w:bCs w:val="0"/>
          <w:i w:val="0"/>
          <w:iCs w:val="0"/>
          <w:color w:val="000000"/>
          <w:sz w:val="24"/>
          <w:szCs w:val="24"/>
          <w:lang w:val="kk-KZ" w:eastAsia="en-US"/>
        </w:rPr>
        <w:t xml:space="preserve"> </w:t>
      </w:r>
      <w:r w:rsidR="00342880">
        <w:rPr>
          <w:b w:val="0"/>
          <w:i w:val="0"/>
          <w:sz w:val="24"/>
          <w:szCs w:val="24"/>
          <w:lang w:val="kk-KZ"/>
        </w:rPr>
        <w:t>Жалпы</w:t>
      </w:r>
      <w:r w:rsidR="00342880" w:rsidRPr="00F10DD1">
        <w:rPr>
          <w:b w:val="0"/>
          <w:i w:val="0"/>
          <w:sz w:val="24"/>
          <w:szCs w:val="24"/>
          <w:lang w:val="kk-KZ"/>
        </w:rPr>
        <w:t xml:space="preserve"> конкурсқа қатысуға ниет білдірген азаматтар</w:t>
      </w:r>
      <w:r w:rsidR="00342880">
        <w:rPr>
          <w:b w:val="0"/>
          <w:i w:val="0"/>
          <w:sz w:val="24"/>
          <w:szCs w:val="24"/>
          <w:lang w:val="kk-KZ"/>
        </w:rPr>
        <w:t xml:space="preserve"> конкурс жарилаған мемлекеттік органға</w:t>
      </w:r>
      <w:r w:rsidR="00342880" w:rsidRPr="00F10DD1">
        <w:rPr>
          <w:b w:val="0"/>
          <w:i w:val="0"/>
          <w:sz w:val="24"/>
          <w:szCs w:val="24"/>
          <w:lang w:val="kk-KZ"/>
        </w:rPr>
        <w:t xml:space="preserve"> құжаттарын </w:t>
      </w:r>
      <w:r w:rsidR="00342880" w:rsidRPr="002277C3">
        <w:rPr>
          <w:b w:val="0"/>
          <w:i w:val="0"/>
          <w:sz w:val="24"/>
          <w:szCs w:val="24"/>
          <w:lang w:val="kk-KZ"/>
        </w:rPr>
        <w:t>электронды түрде «Е-қызмет» интегралды ақпараттық жүйесі не «Е-gov» электронды Үкімет порталы арқылы</w:t>
      </w:r>
      <w:r w:rsidR="00342880" w:rsidRPr="00F10DD1">
        <w:rPr>
          <w:b w:val="0"/>
          <w:i w:val="0"/>
          <w:sz w:val="24"/>
          <w:szCs w:val="24"/>
          <w:lang w:val="kk-KZ"/>
        </w:rPr>
        <w:t xml:space="preserve"> не </w:t>
      </w:r>
      <w:r w:rsidR="00342880" w:rsidRPr="001D63F3">
        <w:rPr>
          <w:i w:val="0"/>
          <w:sz w:val="24"/>
          <w:szCs w:val="24"/>
          <w:lang w:val="kk-KZ"/>
        </w:rPr>
        <w:t>(</w:t>
      </w:r>
      <w:hyperlink r:id="rId9" w:history="1">
        <w:r w:rsidR="00342880" w:rsidRPr="00426720">
          <w:rPr>
            <w:rStyle w:val="a6"/>
            <w:i w:val="0"/>
            <w:sz w:val="24"/>
            <w:szCs w:val="24"/>
            <w:lang w:val="kk-KZ"/>
          </w:rPr>
          <w:t>zh.kantarbaeva@kgd.gov.kz</w:t>
        </w:r>
      </w:hyperlink>
      <w:r w:rsidR="00342880" w:rsidRPr="001D63F3">
        <w:rPr>
          <w:i w:val="0"/>
          <w:sz w:val="24"/>
          <w:szCs w:val="24"/>
          <w:lang w:val="kk-KZ"/>
        </w:rPr>
        <w:t>)</w:t>
      </w:r>
      <w:r w:rsidR="00342880" w:rsidRPr="00F10DD1">
        <w:rPr>
          <w:b w:val="0"/>
          <w:i w:val="0"/>
          <w:sz w:val="24"/>
          <w:szCs w:val="24"/>
          <w:lang w:val="kk-KZ"/>
        </w:rPr>
        <w:t xml:space="preserve"> электрондық почта мекенжайына құжаттарды қабылдау мерзімінде тапсырады</w:t>
      </w:r>
      <w:r w:rsidR="00342880" w:rsidRPr="00C81016">
        <w:rPr>
          <w:b w:val="0"/>
          <w:i w:val="0"/>
          <w:sz w:val="24"/>
          <w:szCs w:val="24"/>
          <w:lang w:val="kk-KZ"/>
        </w:rPr>
        <w:t xml:space="preserve">. </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w:t>
      </w:r>
      <w:r w:rsidR="00342880">
        <w:rPr>
          <w:b w:val="0"/>
          <w:bCs w:val="0"/>
          <w:i w:val="0"/>
          <w:iCs w:val="0"/>
          <w:color w:val="000000"/>
          <w:sz w:val="24"/>
          <w:szCs w:val="24"/>
          <w:lang w:val="kk-KZ" w:eastAsia="en-US"/>
        </w:rPr>
        <w:t>а</w:t>
      </w:r>
      <w:r w:rsidRPr="00C94B25">
        <w:rPr>
          <w:b w:val="0"/>
          <w:bCs w:val="0"/>
          <w:i w:val="0"/>
          <w:iCs w:val="0"/>
          <w:color w:val="000000"/>
          <w:sz w:val="24"/>
          <w:szCs w:val="24"/>
          <w:lang w:val="kk-KZ" w:eastAsia="en-US"/>
        </w:rPr>
        <w:t>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lastRenderedPageBreak/>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B3100C" w:rsidRPr="00F47D2E" w:rsidRDefault="00C94B25" w:rsidP="00B3100C">
      <w:pPr>
        <w:ind w:right="178"/>
        <w:jc w:val="both"/>
        <w:rPr>
          <w:b w:val="0"/>
          <w:bCs w:val="0"/>
          <w:i w:val="0"/>
          <w:sz w:val="24"/>
          <w:szCs w:val="24"/>
          <w:lang w:val="kk-KZ"/>
        </w:rPr>
      </w:pPr>
      <w:bookmarkStart w:id="7"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00B3100C" w:rsidRPr="00F47D2E">
        <w:rPr>
          <w:b w:val="0"/>
          <w:bCs w:val="0"/>
          <w:i w:val="0"/>
          <w:sz w:val="24"/>
          <w:szCs w:val="24"/>
          <w:lang w:val="kk-KZ"/>
        </w:rPr>
        <w:t>Шымкент қаласы, Байтұрсынов көшесі, 68, Еңбекші ауданы бойынша Мемлекеттік кірістер басқармасының ғимаратында өтеді.</w:t>
      </w:r>
    </w:p>
    <w:bookmarkEnd w:id="7"/>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C94B25" w:rsidRPr="00C94B25" w:rsidRDefault="00C94B25" w:rsidP="00C94B25">
      <w:pPr>
        <w:pStyle w:val="17"/>
        <w:jc w:val="both"/>
        <w:rPr>
          <w:rFonts w:ascii="Times New Roman" w:hAnsi="Times New Roman" w:cs="Times New Roman"/>
          <w:b/>
          <w:i/>
          <w:sz w:val="24"/>
          <w:szCs w:val="24"/>
          <w:lang w:val="kk-KZ"/>
        </w:rPr>
      </w:pP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sz w:val="24"/>
          <w:szCs w:val="24"/>
          <w:lang w:val="kk-KZ"/>
        </w:rPr>
        <w:t xml:space="preserve">                                 </w:t>
      </w: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B4308B" w:rsidRDefault="00B4308B"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7B7E75" w:rsidRDefault="007B7E75"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41654A" w:rsidRDefault="00AF2195" w:rsidP="00C94B25">
      <w:pPr>
        <w:autoSpaceDE w:val="0"/>
        <w:autoSpaceDN w:val="0"/>
        <w:adjustRightInd w:val="0"/>
        <w:ind w:left="6237"/>
        <w:rPr>
          <w:b w:val="0"/>
          <w:i w:val="0"/>
          <w:sz w:val="24"/>
          <w:szCs w:val="24"/>
          <w:lang w:val="kk-KZ"/>
        </w:rPr>
      </w:pPr>
      <w:r w:rsidRPr="0041654A">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804AA1" w:rsidP="001C0E2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B25" w:rsidRPr="00CE7ECE" w:rsidRDefault="00C94B25" w:rsidP="00C94B25">
                                  <w:pPr>
                                    <w:rPr>
                                      <w:sz w:val="16"/>
                                    </w:rPr>
                                  </w:pPr>
                                  <w:r>
                                    <w:rPr>
                                      <w:sz w:val="16"/>
                                    </w:rPr>
                                    <w:t>ФФФ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C94B25" w:rsidRPr="00CE7ECE" w:rsidRDefault="00C94B25" w:rsidP="00C94B25">
                            <w:pPr>
                              <w:rPr>
                                <w:sz w:val="16"/>
                              </w:rPr>
                            </w:pPr>
                            <w:r>
                              <w:rPr>
                                <w:sz w:val="16"/>
                              </w:rPr>
                              <w:t>ФФФ</w:t>
                            </w:r>
                          </w:p>
                        </w:txbxContent>
                      </v:textbox>
                    </v:rect>
                  </w:pict>
                </mc:Fallback>
              </mc:AlternateConten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 xml:space="preserve">Соңғы үш жылдағы қызметінің тиімділігін </w:t>
            </w:r>
            <w:r w:rsidRPr="00ED1962">
              <w:rPr>
                <w:color w:val="000000"/>
                <w:sz w:val="24"/>
                <w:szCs w:val="24"/>
              </w:rPr>
              <w:lastRenderedPageBreak/>
              <w:t>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887" w:rsidRDefault="005D6887" w:rsidP="00B55B02">
      <w:r>
        <w:separator/>
      </w:r>
    </w:p>
  </w:endnote>
  <w:endnote w:type="continuationSeparator" w:id="0">
    <w:p w:rsidR="005D6887" w:rsidRDefault="005D688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3136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B69AB">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887" w:rsidRDefault="005D6887" w:rsidP="00B55B02">
      <w:r>
        <w:separator/>
      </w:r>
    </w:p>
  </w:footnote>
  <w:footnote w:type="continuationSeparator" w:id="0">
    <w:p w:rsidR="005D6887" w:rsidRDefault="005D6887"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804AA1"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C3D" w:rsidRPr="00A03C3D" w:rsidRDefault="00A03C3D">
                          <w:pPr>
                            <w:rPr>
                              <w:b w:val="0"/>
                              <w:i w:val="0"/>
                              <w:color w:val="0C0000"/>
                              <w:sz w:val="14"/>
                            </w:rPr>
                          </w:pPr>
                          <w:r>
                            <w:rPr>
                              <w:b w:val="0"/>
                              <w:i w:val="0"/>
                              <w:color w:val="0C0000"/>
                              <w:sz w:val="14"/>
                            </w:rPr>
                            <w:t xml:space="preserve">10.03.2022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A03C3D" w:rsidRPr="00A03C3D" w:rsidRDefault="00A03C3D">
                    <w:pPr>
                      <w:rPr>
                        <w:b w:val="0"/>
                        <w:i w:val="0"/>
                        <w:color w:val="0C0000"/>
                        <w:sz w:val="14"/>
                      </w:rPr>
                    </w:pPr>
                    <w:r>
                      <w:rPr>
                        <w:b w:val="0"/>
                        <w:i w:val="0"/>
                        <w:color w:val="0C0000"/>
                        <w:sz w:val="14"/>
                      </w:rPr>
                      <w:t xml:space="preserve">10.03.2022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9D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0F69"/>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880"/>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3A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54A"/>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887"/>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4B"/>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B7E7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AA1"/>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73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9AB"/>
    <w:rsid w:val="009B6B76"/>
    <w:rsid w:val="009B6B9A"/>
    <w:rsid w:val="009B6C2C"/>
    <w:rsid w:val="009B6ED6"/>
    <w:rsid w:val="009B702D"/>
    <w:rsid w:val="009B7283"/>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C3D"/>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36C"/>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00C"/>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8BE"/>
    <w:rsid w:val="00B37CFE"/>
    <w:rsid w:val="00B40B24"/>
    <w:rsid w:val="00B40E2B"/>
    <w:rsid w:val="00B40F19"/>
    <w:rsid w:val="00B412F3"/>
    <w:rsid w:val="00B41E4E"/>
    <w:rsid w:val="00B42057"/>
    <w:rsid w:val="00B42839"/>
    <w:rsid w:val="00B429E5"/>
    <w:rsid w:val="00B4308B"/>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526"/>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4F2"/>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47D2E"/>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FCA84B1-9B58-43AA-A288-B5DA2BA1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88C4-5C80-40B1-9041-6645F4A1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12209</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14322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2019-06-19T04:55:00Z</cp:lastPrinted>
  <dcterms:created xsi:type="dcterms:W3CDTF">2022-03-10T03:24:00Z</dcterms:created>
  <dcterms:modified xsi:type="dcterms:W3CDTF">2022-03-10T03:24:00Z</dcterms:modified>
</cp:coreProperties>
</file>